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43C28320"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2A3321">
        <w:rPr>
          <w:rFonts w:ascii="Times New Roman" w:hAnsi="Times New Roman"/>
          <w:sz w:val="20"/>
        </w:rPr>
        <w:t>10</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2A3321">
        <w:rPr>
          <w:rFonts w:ascii="Times New Roman" w:hAnsi="Times New Roman"/>
          <w:sz w:val="20"/>
        </w:rPr>
        <w:t>8</w:t>
      </w:r>
      <w:r w:rsidR="00B80280">
        <w:rPr>
          <w:rFonts w:ascii="Times New Roman" w:hAnsi="Times New Roman"/>
          <w:sz w:val="20"/>
        </w:rPr>
        <w:t xml:space="preserve"> czerwca</w:t>
      </w:r>
      <w:r w:rsidR="009922DE" w:rsidRPr="00267B4D">
        <w:rPr>
          <w:rFonts w:ascii="Times New Roman" w:hAnsi="Times New Roman"/>
          <w:sz w:val="20"/>
        </w:rPr>
        <w:t xml:space="preserve"> </w:t>
      </w:r>
    </w:p>
    <w:p w14:paraId="4B5719A7" w14:textId="0AA94A9E" w:rsidR="00B917A2" w:rsidRPr="00FC6F71" w:rsidRDefault="002A3321" w:rsidP="00D7590D">
      <w:pPr>
        <w:ind w:firstLine="0"/>
        <w:jc w:val="center"/>
        <w:rPr>
          <w:rFonts w:ascii="Times New Roman" w:hAnsi="Times New Roman"/>
          <w:b/>
          <w:bCs/>
          <w:sz w:val="28"/>
          <w:szCs w:val="28"/>
        </w:rPr>
      </w:pPr>
      <w:r>
        <w:rPr>
          <w:rFonts w:ascii="Times New Roman" w:hAnsi="Times New Roman"/>
          <w:b/>
          <w:bCs/>
          <w:sz w:val="28"/>
          <w:szCs w:val="28"/>
        </w:rPr>
        <w:t>ZDEMASKOWANIE SPIRYTYZMU</w:t>
      </w:r>
    </w:p>
    <w:p w14:paraId="2ED8D8D6" w14:textId="77777777" w:rsidR="0094250F" w:rsidRPr="00074492" w:rsidRDefault="0094250F" w:rsidP="0094250F">
      <w:pPr>
        <w:rPr>
          <w:rFonts w:ascii="Times New Roman" w:hAnsi="Times New Roman"/>
          <w:sz w:val="20"/>
        </w:rPr>
      </w:pPr>
      <w:r w:rsidRPr="00074492">
        <w:rPr>
          <w:rFonts w:ascii="Times New Roman" w:hAnsi="Times New Roman"/>
          <w:b/>
          <w:sz w:val="20"/>
        </w:rPr>
        <w:t>Część I: Przegląd</w:t>
      </w:r>
    </w:p>
    <w:p w14:paraId="500358CA" w14:textId="77777777" w:rsidR="0094250F" w:rsidRPr="00074492" w:rsidRDefault="0094250F" w:rsidP="0094250F">
      <w:pPr>
        <w:rPr>
          <w:rFonts w:ascii="Times New Roman" w:hAnsi="Times New Roman"/>
          <w:sz w:val="20"/>
        </w:rPr>
      </w:pPr>
    </w:p>
    <w:p w14:paraId="2B722F6D" w14:textId="77777777" w:rsidR="0094250F" w:rsidRPr="00074492" w:rsidRDefault="0094250F" w:rsidP="0094250F">
      <w:pPr>
        <w:rPr>
          <w:rFonts w:ascii="Times New Roman" w:hAnsi="Times New Roman"/>
          <w:b/>
          <w:bCs/>
          <w:sz w:val="20"/>
        </w:rPr>
      </w:pPr>
      <w:r w:rsidRPr="00074492">
        <w:rPr>
          <w:rFonts w:ascii="Times New Roman" w:hAnsi="Times New Roman"/>
          <w:b/>
          <w:bCs/>
          <w:sz w:val="20"/>
        </w:rPr>
        <w:t>Tekst przewodni: 1 </w:t>
      </w:r>
      <w:proofErr w:type="spellStart"/>
      <w:r w:rsidRPr="00074492">
        <w:rPr>
          <w:rFonts w:ascii="Times New Roman" w:hAnsi="Times New Roman"/>
          <w:b/>
          <w:bCs/>
          <w:sz w:val="20"/>
        </w:rPr>
        <w:t>Tes</w:t>
      </w:r>
      <w:proofErr w:type="spellEnd"/>
      <w:r w:rsidRPr="00074492">
        <w:rPr>
          <w:rFonts w:ascii="Times New Roman" w:hAnsi="Times New Roman"/>
          <w:b/>
          <w:bCs/>
          <w:sz w:val="20"/>
        </w:rPr>
        <w:t> 4,16-17.</w:t>
      </w:r>
    </w:p>
    <w:p w14:paraId="56922D9B" w14:textId="77777777" w:rsidR="0094250F" w:rsidRPr="00074492" w:rsidRDefault="0094250F" w:rsidP="0094250F">
      <w:pPr>
        <w:rPr>
          <w:rFonts w:ascii="Times New Roman" w:hAnsi="Times New Roman"/>
          <w:sz w:val="20"/>
        </w:rPr>
      </w:pPr>
    </w:p>
    <w:p w14:paraId="40EC7850" w14:textId="77777777" w:rsidR="0094250F" w:rsidRPr="007221E2" w:rsidRDefault="0094250F" w:rsidP="0094250F">
      <w:pPr>
        <w:rPr>
          <w:rFonts w:ascii="Times New Roman" w:hAnsi="Times New Roman"/>
          <w:iCs/>
          <w:sz w:val="20"/>
        </w:rPr>
      </w:pPr>
      <w:r w:rsidRPr="007221E2">
        <w:rPr>
          <w:rFonts w:ascii="Times New Roman" w:hAnsi="Times New Roman"/>
          <w:b/>
          <w:bCs/>
          <w:sz w:val="20"/>
        </w:rPr>
        <w:t xml:space="preserve">Zakres studium: </w:t>
      </w:r>
      <w:r w:rsidRPr="007221E2">
        <w:rPr>
          <w:rFonts w:ascii="Times New Roman" w:hAnsi="Times New Roman"/>
          <w:iCs/>
          <w:sz w:val="20"/>
        </w:rPr>
        <w:t xml:space="preserve">Mt 10,28; </w:t>
      </w:r>
      <w:proofErr w:type="spellStart"/>
      <w:r w:rsidRPr="007221E2">
        <w:rPr>
          <w:rFonts w:ascii="Times New Roman" w:hAnsi="Times New Roman"/>
          <w:iCs/>
          <w:sz w:val="20"/>
        </w:rPr>
        <w:t>Koh</w:t>
      </w:r>
      <w:proofErr w:type="spellEnd"/>
      <w:r w:rsidRPr="007221E2">
        <w:rPr>
          <w:rFonts w:ascii="Times New Roman" w:hAnsi="Times New Roman"/>
          <w:iCs/>
          <w:sz w:val="20"/>
        </w:rPr>
        <w:t> 9,5; Iz 8,19-20; J 11,21-25; 1 </w:t>
      </w:r>
      <w:proofErr w:type="spellStart"/>
      <w:r w:rsidRPr="007221E2">
        <w:rPr>
          <w:rFonts w:ascii="Times New Roman" w:hAnsi="Times New Roman"/>
          <w:iCs/>
          <w:sz w:val="20"/>
        </w:rPr>
        <w:t>Tes</w:t>
      </w:r>
      <w:proofErr w:type="spellEnd"/>
      <w:r w:rsidRPr="007221E2">
        <w:rPr>
          <w:rFonts w:ascii="Times New Roman" w:hAnsi="Times New Roman"/>
          <w:iCs/>
          <w:sz w:val="20"/>
        </w:rPr>
        <w:t xml:space="preserve"> 4,16-17; Mt 24,23-27; </w:t>
      </w:r>
      <w:proofErr w:type="spellStart"/>
      <w:r w:rsidRPr="007221E2">
        <w:rPr>
          <w:rFonts w:ascii="Times New Roman" w:hAnsi="Times New Roman"/>
          <w:iCs/>
          <w:sz w:val="20"/>
        </w:rPr>
        <w:t>Ap</w:t>
      </w:r>
      <w:proofErr w:type="spellEnd"/>
      <w:r w:rsidRPr="007221E2">
        <w:rPr>
          <w:rFonts w:ascii="Times New Roman" w:hAnsi="Times New Roman"/>
          <w:iCs/>
          <w:sz w:val="20"/>
        </w:rPr>
        <w:t> 16,13-14; 2 </w:t>
      </w:r>
      <w:proofErr w:type="spellStart"/>
      <w:r w:rsidRPr="007221E2">
        <w:rPr>
          <w:rFonts w:ascii="Times New Roman" w:hAnsi="Times New Roman"/>
          <w:iCs/>
          <w:sz w:val="20"/>
        </w:rPr>
        <w:t>Tes</w:t>
      </w:r>
      <w:proofErr w:type="spellEnd"/>
      <w:r w:rsidRPr="007221E2">
        <w:rPr>
          <w:rFonts w:ascii="Times New Roman" w:hAnsi="Times New Roman"/>
          <w:iCs/>
          <w:sz w:val="20"/>
        </w:rPr>
        <w:t> 2,9-12.</w:t>
      </w:r>
    </w:p>
    <w:p w14:paraId="4AD06935" w14:textId="77777777" w:rsidR="0094250F" w:rsidRPr="007221E2" w:rsidRDefault="0094250F" w:rsidP="0094250F">
      <w:pPr>
        <w:rPr>
          <w:rFonts w:ascii="Times New Roman" w:hAnsi="Times New Roman"/>
          <w:sz w:val="20"/>
        </w:rPr>
      </w:pPr>
    </w:p>
    <w:p w14:paraId="3860EF6B" w14:textId="4B24C314" w:rsidR="0094250F" w:rsidRPr="00074492" w:rsidRDefault="0094250F" w:rsidP="0094250F">
      <w:pPr>
        <w:rPr>
          <w:rFonts w:ascii="Times New Roman" w:hAnsi="Times New Roman"/>
          <w:sz w:val="20"/>
        </w:rPr>
      </w:pPr>
      <w:r w:rsidRPr="00074492">
        <w:rPr>
          <w:rFonts w:ascii="Times New Roman" w:hAnsi="Times New Roman"/>
          <w:b/>
          <w:bCs/>
          <w:sz w:val="20"/>
        </w:rPr>
        <w:t xml:space="preserve">Wprowadzenie: </w:t>
      </w:r>
      <w:r w:rsidRPr="00074492">
        <w:rPr>
          <w:rFonts w:ascii="Times New Roman" w:hAnsi="Times New Roman"/>
          <w:sz w:val="20"/>
        </w:rPr>
        <w:t>Spirytyzm jest częścią demonicznego planu szerzenia diabelskiego kłamstwa, iż ludzie są bogami i mogą żyć bez Boga. Diabeł posługuje się spirytyzmem, by zatrzymać ludzi po swojej stronie w wielkim boju. Uwikłanie w jakąkolwiek formę spirytyzmu sprawia, że wyrwanie się z sideł szatana graniczy z</w:t>
      </w:r>
      <w:r>
        <w:rPr>
          <w:rFonts w:ascii="Times New Roman" w:hAnsi="Times New Roman"/>
          <w:sz w:val="20"/>
        </w:rPr>
        <w:t> </w:t>
      </w:r>
      <w:r w:rsidRPr="00074492">
        <w:rPr>
          <w:rFonts w:ascii="Times New Roman" w:hAnsi="Times New Roman"/>
          <w:sz w:val="20"/>
        </w:rPr>
        <w:t>niemożliwością. Aby popularyzować spirytyzm, diabeł wypiera ze świadomości ludzi biblijną definicję śmierci i biblijną naukę o naturze człowieka. Fałszywe doktryny stanowią grunt błędnego nauczania, że jesteśmy wieczni i niezniszczalni, więc istniejemy także po śmierci. Wskutek tego zwiedzenie otwiera drzwi do niebezpiecznego wierzenia, że po śmierci możemy nadal komunikować się z ludźmi, a nawet aniołami.</w:t>
      </w:r>
    </w:p>
    <w:p w14:paraId="79CDBB8D" w14:textId="77777777" w:rsidR="0094250F" w:rsidRPr="00074492" w:rsidRDefault="0094250F" w:rsidP="0094250F">
      <w:pPr>
        <w:rPr>
          <w:rFonts w:ascii="Times New Roman" w:hAnsi="Times New Roman"/>
          <w:sz w:val="20"/>
        </w:rPr>
      </w:pPr>
      <w:r w:rsidRPr="00074492">
        <w:rPr>
          <w:rFonts w:ascii="Times New Roman" w:hAnsi="Times New Roman"/>
          <w:sz w:val="20"/>
        </w:rPr>
        <w:t>Nurt kulturalny zwany oświeceniem podjął długą i ciężką walkę o wykorzenienie wszelkich średniowiecznych form spirytualizmu, w tym rzekomego komunikowania się ze zmarłymi. Jednak oświecenie poniosło klęskę. Zgodnie z biblijnym proroctwem spirytyzm dotknie ludzkość z pełną siłą w czasie końca, przygotowując ludzi na ostatnie wielkie zwiedzenie w wielkim boju. Dlatego lud Boży został powołany do ogłoszenia ludzkości prawdziwej natury i intencji spirytyzmu, a także biblijnej nauki o naturze człowieka, naturze śmierci oraz prawdziwej nadziei ludzkości. Nasza nadzieja nie opiera się na fałszywej nauce o nieśmiertelności duszy, ale na pewności zmartwychwstania Jezusa Chrystusa i naszej wiecznej więzi z Nim.</w:t>
      </w:r>
    </w:p>
    <w:p w14:paraId="64A10EB3" w14:textId="77777777" w:rsidR="0094250F" w:rsidRPr="00074492" w:rsidRDefault="0094250F" w:rsidP="0094250F">
      <w:pPr>
        <w:rPr>
          <w:rFonts w:ascii="Times New Roman" w:hAnsi="Times New Roman"/>
          <w:sz w:val="20"/>
        </w:rPr>
      </w:pPr>
    </w:p>
    <w:p w14:paraId="11BDDA3F" w14:textId="77777777" w:rsidR="0094250F" w:rsidRPr="00074492" w:rsidRDefault="0094250F" w:rsidP="0094250F">
      <w:pPr>
        <w:rPr>
          <w:rFonts w:ascii="Times New Roman" w:hAnsi="Times New Roman"/>
          <w:b/>
          <w:bCs/>
          <w:sz w:val="20"/>
        </w:rPr>
      </w:pPr>
      <w:r w:rsidRPr="00074492">
        <w:rPr>
          <w:rFonts w:ascii="Times New Roman" w:hAnsi="Times New Roman"/>
          <w:b/>
          <w:bCs/>
          <w:sz w:val="20"/>
        </w:rPr>
        <w:t>Tematy lekcji</w:t>
      </w:r>
    </w:p>
    <w:p w14:paraId="3B6A67F9" w14:textId="77777777" w:rsidR="0094250F" w:rsidRPr="00074492" w:rsidRDefault="0094250F" w:rsidP="0094250F">
      <w:pPr>
        <w:rPr>
          <w:rFonts w:ascii="Times New Roman" w:hAnsi="Times New Roman"/>
          <w:sz w:val="20"/>
        </w:rPr>
      </w:pPr>
      <w:r w:rsidRPr="00074492">
        <w:rPr>
          <w:rFonts w:ascii="Times New Roman" w:hAnsi="Times New Roman"/>
          <w:sz w:val="20"/>
        </w:rPr>
        <w:t>Ta lekcja podkreśla trzy zasadnicze tematy:</w:t>
      </w:r>
    </w:p>
    <w:p w14:paraId="7C238110" w14:textId="77777777" w:rsidR="0094250F" w:rsidRPr="00074492" w:rsidRDefault="0094250F" w:rsidP="0094250F">
      <w:pPr>
        <w:rPr>
          <w:rFonts w:ascii="Times New Roman" w:hAnsi="Times New Roman"/>
          <w:sz w:val="20"/>
        </w:rPr>
      </w:pPr>
      <w:r w:rsidRPr="00074492">
        <w:rPr>
          <w:rFonts w:ascii="Times New Roman" w:hAnsi="Times New Roman"/>
          <w:sz w:val="20"/>
        </w:rPr>
        <w:t>1. Prawdziwa istota i intencje spirytyzmu w kontekście wielkiego boju czynią go zwiedzeniem mającym prowadzić ludzi do uległości wobec sił demonicznych.</w:t>
      </w:r>
    </w:p>
    <w:p w14:paraId="791B3932" w14:textId="77777777" w:rsidR="0094250F" w:rsidRPr="00074492" w:rsidRDefault="0094250F" w:rsidP="0094250F">
      <w:pPr>
        <w:rPr>
          <w:rFonts w:ascii="Times New Roman" w:hAnsi="Times New Roman"/>
          <w:sz w:val="20"/>
        </w:rPr>
      </w:pPr>
      <w:r w:rsidRPr="00074492">
        <w:rPr>
          <w:rFonts w:ascii="Times New Roman" w:hAnsi="Times New Roman"/>
          <w:sz w:val="20"/>
        </w:rPr>
        <w:t xml:space="preserve">2. </w:t>
      </w:r>
      <w:r w:rsidRPr="00074492">
        <w:rPr>
          <w:rFonts w:ascii="Times New Roman" w:hAnsi="Times New Roman"/>
          <w:i/>
          <w:iCs/>
          <w:sz w:val="20"/>
        </w:rPr>
        <w:t>Biblia</w:t>
      </w:r>
      <w:r w:rsidRPr="00074492">
        <w:rPr>
          <w:rFonts w:ascii="Times New Roman" w:hAnsi="Times New Roman"/>
          <w:sz w:val="20"/>
        </w:rPr>
        <w:t xml:space="preserve"> uczy, że człowiek jest niepodzielną jednością, pierwsza śmierć jest tymczasowym snem, a druga śmierć - zupełnym unicestwieniem czyli biblijnym piekłem.</w:t>
      </w:r>
    </w:p>
    <w:p w14:paraId="246E3312" w14:textId="77777777" w:rsidR="0094250F" w:rsidRPr="00074492" w:rsidRDefault="0094250F" w:rsidP="0094250F">
      <w:pPr>
        <w:rPr>
          <w:rFonts w:ascii="Times New Roman" w:hAnsi="Times New Roman"/>
          <w:sz w:val="20"/>
        </w:rPr>
      </w:pPr>
      <w:r w:rsidRPr="00074492">
        <w:rPr>
          <w:rFonts w:ascii="Times New Roman" w:hAnsi="Times New Roman"/>
          <w:sz w:val="20"/>
        </w:rPr>
        <w:t>3. Prawdziwą nadzieją wskazaną nam w Słowie Bożym są zmartwychwstanie i wieczna więź z Bogiem.</w:t>
      </w:r>
    </w:p>
    <w:p w14:paraId="32A9EF6A" w14:textId="77777777" w:rsidR="0094250F" w:rsidRPr="00074492" w:rsidRDefault="0094250F" w:rsidP="0094250F">
      <w:pPr>
        <w:rPr>
          <w:rFonts w:ascii="Times New Roman" w:hAnsi="Times New Roman"/>
          <w:sz w:val="20"/>
        </w:rPr>
      </w:pPr>
    </w:p>
    <w:p w14:paraId="3C527FFD" w14:textId="77777777" w:rsidR="0094250F" w:rsidRPr="00074492" w:rsidRDefault="0094250F" w:rsidP="0094250F">
      <w:pPr>
        <w:rPr>
          <w:rFonts w:ascii="Times New Roman" w:hAnsi="Times New Roman"/>
          <w:sz w:val="20"/>
        </w:rPr>
      </w:pPr>
      <w:r w:rsidRPr="00074492">
        <w:rPr>
          <w:rFonts w:ascii="Times New Roman" w:hAnsi="Times New Roman"/>
          <w:b/>
          <w:sz w:val="20"/>
        </w:rPr>
        <w:t>Część II: Komentarz</w:t>
      </w:r>
    </w:p>
    <w:p w14:paraId="4404D584" w14:textId="77777777" w:rsidR="0094250F" w:rsidRPr="00074492" w:rsidRDefault="0094250F" w:rsidP="0094250F">
      <w:pPr>
        <w:rPr>
          <w:rFonts w:ascii="Times New Roman" w:hAnsi="Times New Roman"/>
          <w:sz w:val="20"/>
        </w:rPr>
      </w:pPr>
    </w:p>
    <w:p w14:paraId="0880032C" w14:textId="77777777" w:rsidR="0094250F" w:rsidRPr="00074492" w:rsidRDefault="0094250F" w:rsidP="0094250F">
      <w:pPr>
        <w:rPr>
          <w:rFonts w:ascii="Times New Roman" w:hAnsi="Times New Roman"/>
          <w:b/>
          <w:sz w:val="20"/>
        </w:rPr>
      </w:pPr>
      <w:r w:rsidRPr="00074492">
        <w:rPr>
          <w:rFonts w:ascii="Times New Roman" w:hAnsi="Times New Roman"/>
          <w:b/>
          <w:sz w:val="20"/>
        </w:rPr>
        <w:t>Definicje i tło historyczne</w:t>
      </w:r>
    </w:p>
    <w:p w14:paraId="320656C6" w14:textId="77777777" w:rsidR="0094250F" w:rsidRPr="00074492" w:rsidRDefault="0094250F" w:rsidP="0094250F">
      <w:pPr>
        <w:rPr>
          <w:rFonts w:ascii="Times New Roman" w:hAnsi="Times New Roman"/>
          <w:sz w:val="20"/>
        </w:rPr>
      </w:pPr>
      <w:r w:rsidRPr="00074492">
        <w:rPr>
          <w:rFonts w:ascii="Times New Roman" w:hAnsi="Times New Roman"/>
          <w:sz w:val="20"/>
        </w:rPr>
        <w:t>Współczesny spirytyzm oznacza religijne i filozoficzne wierzenia sprowadzające się do tego, że śmierć nie jest końcem ludzkiej egzystencji. Spirytyzm twierdzi, że duch istnieje jako eteryczna, niematerialna, wieczna, nieśmiertelna dusza. Po śmierci dusze czy duchy rozwijają się i ewoluują, gwałtownie przenosząc się do innych wymiarów i na kolejne poziomy egzystencji i wiedzy. Ludzie nadal pozostający w swoich ciałach mogą się kontaktować z tymi duchami, prosząc je o pomoc i kierownictwo. Kontakt taki jest możliwy za pośrednictwem specjalistów takich jak media spirytystyczne. Można też osobiście nawiązać kontakt z duchami, ale wymaga to studiowania i praktykowania.</w:t>
      </w:r>
    </w:p>
    <w:p w14:paraId="383BAEB7" w14:textId="6A5E532B" w:rsidR="0094250F" w:rsidRPr="00074492" w:rsidRDefault="0094250F" w:rsidP="0094250F">
      <w:pPr>
        <w:rPr>
          <w:rFonts w:ascii="Times New Roman" w:hAnsi="Times New Roman"/>
          <w:sz w:val="20"/>
        </w:rPr>
      </w:pPr>
      <w:r w:rsidRPr="00074492">
        <w:rPr>
          <w:rFonts w:ascii="Times New Roman" w:hAnsi="Times New Roman"/>
          <w:sz w:val="20"/>
        </w:rPr>
        <w:t xml:space="preserve">Ogólnie rzecz biorąc, przyjmuje się, że współczesny spirytyzm narodził się w </w:t>
      </w:r>
      <w:proofErr w:type="spellStart"/>
      <w:r w:rsidRPr="00074492">
        <w:rPr>
          <w:rFonts w:ascii="Times New Roman" w:hAnsi="Times New Roman"/>
          <w:sz w:val="20"/>
        </w:rPr>
        <w:t>Hydesville</w:t>
      </w:r>
      <w:proofErr w:type="spellEnd"/>
      <w:r w:rsidRPr="00074492">
        <w:rPr>
          <w:rFonts w:ascii="Times New Roman" w:hAnsi="Times New Roman"/>
          <w:sz w:val="20"/>
        </w:rPr>
        <w:t xml:space="preserve"> w stanie Nowy Jork 31 marca 1848 roku w domu sióstr Fox, które twierdziły, że duch skomunikował się z nimi przy pomocy wystukiwanego kodu. W 1888 roku jedna z sióstr wyznała, że owe tajemnicze stukania były szwindlem, ale już w</w:t>
      </w:r>
      <w:r>
        <w:rPr>
          <w:rFonts w:ascii="Times New Roman" w:hAnsi="Times New Roman"/>
          <w:sz w:val="20"/>
        </w:rPr>
        <w:t> </w:t>
      </w:r>
      <w:r w:rsidRPr="00074492">
        <w:rPr>
          <w:rFonts w:ascii="Times New Roman" w:hAnsi="Times New Roman"/>
          <w:sz w:val="20"/>
        </w:rPr>
        <w:t>1889 roku odwołała to wyznanie. Mimo szeregu skandali wywołanych fałszerstwami spirytyzm zyskał popularność w Ameryce Północnej. Pod koniec XIX wieku kilka milionów Amerykanów, zwłaszcza z klasy średniej i wyższej, deklarowało wiarę w duchy i uważało się za spirytystów.</w:t>
      </w:r>
    </w:p>
    <w:p w14:paraId="64AA7294" w14:textId="10684FC8" w:rsidR="0094250F" w:rsidRPr="00074492" w:rsidRDefault="0094250F" w:rsidP="0094250F">
      <w:pPr>
        <w:rPr>
          <w:rFonts w:ascii="Times New Roman" w:hAnsi="Times New Roman"/>
          <w:sz w:val="20"/>
        </w:rPr>
      </w:pPr>
      <w:r w:rsidRPr="00074492">
        <w:rPr>
          <w:rFonts w:ascii="Times New Roman" w:hAnsi="Times New Roman"/>
          <w:sz w:val="20"/>
        </w:rPr>
        <w:t xml:space="preserve">Tymczasem w latach 50. XIX wieku </w:t>
      </w:r>
      <w:proofErr w:type="spellStart"/>
      <w:r w:rsidRPr="00074492">
        <w:rPr>
          <w:rFonts w:ascii="Times New Roman" w:hAnsi="Times New Roman"/>
          <w:sz w:val="20"/>
        </w:rPr>
        <w:t>Hippolyte</w:t>
      </w:r>
      <w:proofErr w:type="spellEnd"/>
      <w:r w:rsidRPr="00074492">
        <w:rPr>
          <w:rFonts w:ascii="Times New Roman" w:hAnsi="Times New Roman"/>
          <w:sz w:val="20"/>
        </w:rPr>
        <w:t xml:space="preserve"> </w:t>
      </w:r>
      <w:proofErr w:type="spellStart"/>
      <w:r w:rsidRPr="00074492">
        <w:rPr>
          <w:rFonts w:ascii="Times New Roman" w:hAnsi="Times New Roman"/>
          <w:sz w:val="20"/>
        </w:rPr>
        <w:t>Léon</w:t>
      </w:r>
      <w:proofErr w:type="spellEnd"/>
      <w:r w:rsidRPr="00074492">
        <w:rPr>
          <w:rFonts w:ascii="Times New Roman" w:hAnsi="Times New Roman"/>
          <w:sz w:val="20"/>
        </w:rPr>
        <w:t xml:space="preserve"> </w:t>
      </w:r>
      <w:proofErr w:type="spellStart"/>
      <w:r w:rsidRPr="00074492">
        <w:rPr>
          <w:rFonts w:ascii="Times New Roman" w:hAnsi="Times New Roman"/>
          <w:sz w:val="20"/>
        </w:rPr>
        <w:t>Denizard</w:t>
      </w:r>
      <w:proofErr w:type="spellEnd"/>
      <w:r w:rsidRPr="00074492">
        <w:rPr>
          <w:rFonts w:ascii="Times New Roman" w:hAnsi="Times New Roman"/>
          <w:sz w:val="20"/>
        </w:rPr>
        <w:t xml:space="preserve"> </w:t>
      </w:r>
      <w:proofErr w:type="spellStart"/>
      <w:r w:rsidRPr="00074492">
        <w:rPr>
          <w:rFonts w:ascii="Times New Roman" w:hAnsi="Times New Roman"/>
          <w:sz w:val="20"/>
        </w:rPr>
        <w:t>Rivail</w:t>
      </w:r>
      <w:proofErr w:type="spellEnd"/>
      <w:r w:rsidRPr="00074492">
        <w:rPr>
          <w:rFonts w:ascii="Times New Roman" w:hAnsi="Times New Roman"/>
          <w:sz w:val="20"/>
        </w:rPr>
        <w:t xml:space="preserve">, francuski nauczyciel znany pod pseudonimem Allan </w:t>
      </w:r>
      <w:proofErr w:type="spellStart"/>
      <w:r w:rsidRPr="00074492">
        <w:rPr>
          <w:rFonts w:ascii="Times New Roman" w:hAnsi="Times New Roman"/>
          <w:sz w:val="20"/>
        </w:rPr>
        <w:t>Kardec</w:t>
      </w:r>
      <w:proofErr w:type="spellEnd"/>
      <w:r w:rsidRPr="00074492">
        <w:rPr>
          <w:rFonts w:ascii="Times New Roman" w:hAnsi="Times New Roman"/>
          <w:sz w:val="20"/>
        </w:rPr>
        <w:t xml:space="preserve">, rozwinął praktykę spirytystyczną. Spirytyzm uczy, że ludzie są </w:t>
      </w:r>
      <w:proofErr w:type="spellStart"/>
      <w:r w:rsidRPr="00074492">
        <w:rPr>
          <w:rFonts w:ascii="Times New Roman" w:hAnsi="Times New Roman"/>
          <w:sz w:val="20"/>
        </w:rPr>
        <w:t>inkarnacjam</w:t>
      </w:r>
      <w:proofErr w:type="spellEnd"/>
      <w:r w:rsidRPr="00074492">
        <w:rPr>
          <w:rFonts w:ascii="Times New Roman" w:hAnsi="Times New Roman"/>
          <w:sz w:val="20"/>
        </w:rPr>
        <w:t xml:space="preserve"> i</w:t>
      </w:r>
      <w:r>
        <w:rPr>
          <w:rFonts w:ascii="Times New Roman" w:hAnsi="Times New Roman"/>
          <w:sz w:val="20"/>
        </w:rPr>
        <w:t> </w:t>
      </w:r>
      <w:r w:rsidRPr="00074492">
        <w:rPr>
          <w:rFonts w:ascii="Times New Roman" w:hAnsi="Times New Roman"/>
          <w:sz w:val="20"/>
        </w:rPr>
        <w:t xml:space="preserve"> reinkarnacjami nieśmiertelnych duchów zamieszkujących transcendentną sferę. Zatem gdy spirytyzm wierzy w</w:t>
      </w:r>
      <w:r>
        <w:rPr>
          <w:rFonts w:ascii="Times New Roman" w:hAnsi="Times New Roman"/>
          <w:sz w:val="20"/>
        </w:rPr>
        <w:t> </w:t>
      </w:r>
      <w:r w:rsidR="004961E2" w:rsidRPr="00074492">
        <w:rPr>
          <w:rFonts w:ascii="Times New Roman" w:hAnsi="Times New Roman"/>
          <w:sz w:val="20"/>
        </w:rPr>
        <w:t>reinkarnację</w:t>
      </w:r>
      <w:r w:rsidRPr="00074492">
        <w:rPr>
          <w:rFonts w:ascii="Times New Roman" w:hAnsi="Times New Roman"/>
          <w:sz w:val="20"/>
        </w:rPr>
        <w:t xml:space="preserve"> wiecznej duszy, spirytualizm wierzy w wieczne istnienie duszy, ale nie akceptuje koncepcji reinkarnacji. Tak więc spirytyści są spirytualistami, ale nie wszyscy spirytualiści są spirytystami. Choć istnieją pewne punkty sporne między tymi ruchami spirytualistycznymi, w jednym pozostają one zgodne, mianowicie wierzeniu w </w:t>
      </w:r>
      <w:r w:rsidRPr="00074492">
        <w:rPr>
          <w:rFonts w:ascii="Times New Roman" w:hAnsi="Times New Roman"/>
          <w:i/>
          <w:iCs/>
          <w:sz w:val="20"/>
        </w:rPr>
        <w:t>nieśmiertelność duszy i możliwość komunikowania się z duchami po śmierci</w:t>
      </w:r>
      <w:r w:rsidRPr="00074492">
        <w:rPr>
          <w:rFonts w:ascii="Times New Roman" w:hAnsi="Times New Roman"/>
          <w:sz w:val="20"/>
        </w:rPr>
        <w:t xml:space="preserve">. W drugiej połowie XIX wieku stopniowo w coraz większym stopniu wykształcone elity Europy przyjmowały spirytualizm albo spirytyzm, co doprowadziło do rozwoju współczesnego zachodniego okultyzmu. Ruchy te zorganizowały się w szeregu towarzystw i stowarzyszeń, wydając ogromną liczbę książek i artykułów poświęconych </w:t>
      </w:r>
      <w:proofErr w:type="spellStart"/>
      <w:r w:rsidRPr="00074492">
        <w:rPr>
          <w:rFonts w:ascii="Times New Roman" w:hAnsi="Times New Roman"/>
          <w:sz w:val="20"/>
        </w:rPr>
        <w:t>ezoteryce</w:t>
      </w:r>
      <w:proofErr w:type="spellEnd"/>
      <w:r w:rsidRPr="00074492">
        <w:rPr>
          <w:rFonts w:ascii="Times New Roman" w:hAnsi="Times New Roman"/>
          <w:sz w:val="20"/>
        </w:rPr>
        <w:t xml:space="preserve"> i magii.</w:t>
      </w:r>
    </w:p>
    <w:p w14:paraId="79FA7845" w14:textId="77777777" w:rsidR="0094250F" w:rsidRPr="00074492" w:rsidRDefault="0094250F" w:rsidP="0094250F">
      <w:pPr>
        <w:rPr>
          <w:rFonts w:ascii="Times New Roman" w:hAnsi="Times New Roman"/>
          <w:sz w:val="20"/>
        </w:rPr>
      </w:pPr>
    </w:p>
    <w:p w14:paraId="245EEC82" w14:textId="77777777" w:rsidR="004961E2" w:rsidRDefault="004961E2">
      <w:pPr>
        <w:spacing w:after="160" w:line="259" w:lineRule="auto"/>
        <w:ind w:firstLine="0"/>
        <w:jc w:val="left"/>
        <w:rPr>
          <w:rFonts w:ascii="Times New Roman" w:hAnsi="Times New Roman"/>
          <w:b/>
          <w:bCs/>
          <w:sz w:val="20"/>
        </w:rPr>
      </w:pPr>
      <w:r>
        <w:rPr>
          <w:rFonts w:ascii="Times New Roman" w:hAnsi="Times New Roman"/>
          <w:b/>
          <w:bCs/>
          <w:sz w:val="20"/>
        </w:rPr>
        <w:br w:type="page"/>
      </w:r>
    </w:p>
    <w:p w14:paraId="18E4ED79" w14:textId="0CC95F6F" w:rsidR="0094250F" w:rsidRPr="00074492" w:rsidRDefault="0094250F" w:rsidP="0094250F">
      <w:pPr>
        <w:rPr>
          <w:rFonts w:ascii="Times New Roman" w:hAnsi="Times New Roman"/>
          <w:sz w:val="20"/>
        </w:rPr>
      </w:pPr>
      <w:r w:rsidRPr="00074492">
        <w:rPr>
          <w:rFonts w:ascii="Times New Roman" w:hAnsi="Times New Roman"/>
          <w:b/>
          <w:bCs/>
          <w:sz w:val="20"/>
        </w:rPr>
        <w:lastRenderedPageBreak/>
        <w:t>Nieśmiertelność duszy</w:t>
      </w:r>
    </w:p>
    <w:p w14:paraId="2176FEEB" w14:textId="77777777" w:rsidR="0094250F" w:rsidRPr="00074492" w:rsidRDefault="0094250F" w:rsidP="0094250F">
      <w:pPr>
        <w:rPr>
          <w:rFonts w:ascii="Times New Roman" w:hAnsi="Times New Roman"/>
          <w:sz w:val="20"/>
        </w:rPr>
      </w:pPr>
      <w:r w:rsidRPr="00074492">
        <w:rPr>
          <w:rFonts w:ascii="Times New Roman" w:hAnsi="Times New Roman"/>
          <w:sz w:val="20"/>
        </w:rPr>
        <w:t xml:space="preserve">Współcześni zachodni spirytualiści nie twierdzą, że ich wiara w nieśmiertelność duszy jest czymś nowym. Przyznają skwapliwie, że ta „wiedza” pochodzi od „starożytnych”. Owszem, koncepcja nieśmiertelności duszy sięga kuszenia Ewy przez węża w ogrodzie Eden. Ten fałszywy pogląd rozprzestrzenił się po świecie, przenikając wiele kultur i stając się częścią licznych religii, takich jak szamanizm, szintoizm, hinduizm, buddyzm, </w:t>
      </w:r>
      <w:proofErr w:type="spellStart"/>
      <w:r w:rsidRPr="00074492">
        <w:rPr>
          <w:rFonts w:ascii="Times New Roman" w:hAnsi="Times New Roman"/>
          <w:sz w:val="20"/>
        </w:rPr>
        <w:t>voodoo</w:t>
      </w:r>
      <w:proofErr w:type="spellEnd"/>
      <w:r w:rsidRPr="00074492">
        <w:rPr>
          <w:rFonts w:ascii="Times New Roman" w:hAnsi="Times New Roman"/>
          <w:sz w:val="20"/>
        </w:rPr>
        <w:t xml:space="preserve"> oraz inne lokalne i regionalne religie pogańskie.</w:t>
      </w:r>
    </w:p>
    <w:p w14:paraId="6D1E4D8B" w14:textId="025B0B30" w:rsidR="0094250F" w:rsidRPr="00074492" w:rsidRDefault="0094250F" w:rsidP="0094250F">
      <w:pPr>
        <w:rPr>
          <w:rFonts w:ascii="Times New Roman" w:hAnsi="Times New Roman"/>
          <w:sz w:val="20"/>
        </w:rPr>
      </w:pPr>
      <w:r w:rsidRPr="00074492">
        <w:rPr>
          <w:rFonts w:ascii="Times New Roman" w:hAnsi="Times New Roman"/>
          <w:sz w:val="20"/>
        </w:rPr>
        <w:t xml:space="preserve">Nieśmiertelność duszy stała się podstawą greckiej filozofii, w tym zwłaszcza pitagoreizmu, platonizmu, arystotelizmu, środkowego okresu platonizmu i neoplatonizmu. Także manicheizm i gnostycyzm zostały zbudowane na tej koncepcji. Niestety, wskutek synkretyzmu z grecką filozofią chrześcijaństwo także znalazło się pod wpływem koncepcji nieśmiertelności duszy. Dlatego, choć wiele wyznań chrześcijańskich potępia spirytyzm, każdy Kościół, który nadal trzyma się koncepcji nieśmiertelnej duszy, jest szczególnie podatny na spirytualizm </w:t>
      </w:r>
      <w:r w:rsidR="004961E2">
        <w:rPr>
          <w:rFonts w:ascii="Times New Roman" w:hAnsi="Times New Roman"/>
          <w:sz w:val="20"/>
        </w:rPr>
        <w:t> </w:t>
      </w:r>
      <w:r w:rsidRPr="00074492">
        <w:rPr>
          <w:rFonts w:ascii="Times New Roman" w:hAnsi="Times New Roman"/>
          <w:sz w:val="20"/>
        </w:rPr>
        <w:t xml:space="preserve"> okultyzm. Wskutek tego niektóre Kościoły, takie jak Kościół Rzymskokatolicki i Kościoły prawosławne, rozwinęły kult świętych, którzy rzekomo wysłuchują modlitw i odpowiadają na nie chroniąc i</w:t>
      </w:r>
      <w:r w:rsidR="004961E2">
        <w:rPr>
          <w:rFonts w:ascii="Times New Roman" w:hAnsi="Times New Roman"/>
          <w:sz w:val="20"/>
        </w:rPr>
        <w:t> </w:t>
      </w:r>
      <w:r w:rsidRPr="00074492">
        <w:rPr>
          <w:rFonts w:ascii="Times New Roman" w:hAnsi="Times New Roman"/>
          <w:sz w:val="20"/>
        </w:rPr>
        <w:t>prowadząc tych, którzy zwracają się do nich. Reformatorzy protestanccy odrzucili kult świętych, ale koncepcja nieśmiertelności duszy przeniknęła do wyznań protestanckich, potencjalnie narażając je na wpływy spirytualizmu.</w:t>
      </w:r>
    </w:p>
    <w:p w14:paraId="3E91B4F9" w14:textId="496BECAE" w:rsidR="0094250F" w:rsidRPr="00074492" w:rsidRDefault="0094250F" w:rsidP="0094250F">
      <w:pPr>
        <w:rPr>
          <w:rFonts w:ascii="Times New Roman" w:hAnsi="Times New Roman"/>
          <w:sz w:val="20"/>
        </w:rPr>
      </w:pPr>
      <w:r w:rsidRPr="00074492">
        <w:rPr>
          <w:rFonts w:ascii="Times New Roman" w:hAnsi="Times New Roman"/>
          <w:sz w:val="20"/>
        </w:rPr>
        <w:t xml:space="preserve">Należy tu poczynić dwa ważne spostrzeżenia. Po pierwsze, musimy zwrócić uwagę, że współczesny spirytualizm wyłonił się dokładnie w tym samym okresie i na tym samym terenie co </w:t>
      </w:r>
      <w:proofErr w:type="spellStart"/>
      <w:r w:rsidRPr="00074492">
        <w:rPr>
          <w:rFonts w:ascii="Times New Roman" w:hAnsi="Times New Roman"/>
          <w:sz w:val="20"/>
        </w:rPr>
        <w:t>millerowski</w:t>
      </w:r>
      <w:proofErr w:type="spellEnd"/>
      <w:r w:rsidRPr="00074492">
        <w:rPr>
          <w:rFonts w:ascii="Times New Roman" w:hAnsi="Times New Roman"/>
          <w:sz w:val="20"/>
        </w:rPr>
        <w:t xml:space="preserve"> adwentyzm </w:t>
      </w:r>
      <w:r w:rsidR="004961E2">
        <w:rPr>
          <w:rFonts w:ascii="Times New Roman" w:hAnsi="Times New Roman"/>
          <w:sz w:val="20"/>
        </w:rPr>
        <w:t>–</w:t>
      </w:r>
      <w:r w:rsidRPr="00074492">
        <w:rPr>
          <w:rFonts w:ascii="Times New Roman" w:hAnsi="Times New Roman"/>
          <w:sz w:val="20"/>
        </w:rPr>
        <w:t xml:space="preserve"> w</w:t>
      </w:r>
      <w:r w:rsidR="004961E2">
        <w:rPr>
          <w:rFonts w:ascii="Times New Roman" w:hAnsi="Times New Roman"/>
          <w:sz w:val="20"/>
        </w:rPr>
        <w:t> </w:t>
      </w:r>
      <w:r w:rsidRPr="00074492">
        <w:rPr>
          <w:rFonts w:ascii="Times New Roman" w:hAnsi="Times New Roman"/>
          <w:sz w:val="20"/>
        </w:rPr>
        <w:t>północnowschodniej części Stanów Zjednoczonych w latach 40. XIX wieku. Pojawienie się tego ruchu stanowi diabelską próbę antycypowania i zdyskredytowania Bożego dzieła głoszenia powtórnego przyjścia Jezusa i</w:t>
      </w:r>
      <w:r w:rsidR="004961E2">
        <w:rPr>
          <w:rFonts w:ascii="Times New Roman" w:hAnsi="Times New Roman"/>
          <w:sz w:val="20"/>
        </w:rPr>
        <w:t> </w:t>
      </w:r>
      <w:r w:rsidRPr="00074492">
        <w:rPr>
          <w:rFonts w:ascii="Times New Roman" w:hAnsi="Times New Roman"/>
          <w:sz w:val="20"/>
        </w:rPr>
        <w:t>przesłań trzech aniołów. Bóg przekazuje te przesłania za pośrednictwem Kościoła Ostatków, który został potwierdzony przez duchowy dar prorokowania. Jednym z zasadniczych poglądów Kościoła adwentystycznego jest potrzeba wzywania ludzi do porzucenia pogańskiej wiary w nieśmiertelność duszy. Kościół adwentystyczny wzywa ludzkość do powrotu ku biblijnej nauce o jedności istoty ludzkiej. Adwentyści uświadamiają ludziom na całym świecie, że prawdziwa nadzieja na życie wieczne opiera się nie na rzekomym istnieniu nieśmiertelnej duszy, ale na realnym zmartwychwstaniu, które nastąpi w dniu powtórnego przyjścia Jezusa.</w:t>
      </w:r>
    </w:p>
    <w:p w14:paraId="76D88873" w14:textId="1CCFCC1C" w:rsidR="0094250F" w:rsidRPr="00074492" w:rsidRDefault="0094250F" w:rsidP="0094250F">
      <w:pPr>
        <w:rPr>
          <w:rFonts w:ascii="Times New Roman" w:hAnsi="Times New Roman"/>
          <w:sz w:val="20"/>
        </w:rPr>
      </w:pPr>
      <w:r w:rsidRPr="00074492">
        <w:rPr>
          <w:rFonts w:ascii="Times New Roman" w:hAnsi="Times New Roman"/>
          <w:sz w:val="20"/>
        </w:rPr>
        <w:t>Po drugie, europejskie oświecenie czy modernizm podkreślające znaczenie nauki, naukowej edukacji i</w:t>
      </w:r>
      <w:r w:rsidR="004961E2">
        <w:rPr>
          <w:rFonts w:ascii="Times New Roman" w:hAnsi="Times New Roman"/>
          <w:sz w:val="20"/>
        </w:rPr>
        <w:t> </w:t>
      </w:r>
      <w:r w:rsidRPr="00074492">
        <w:rPr>
          <w:rFonts w:ascii="Times New Roman" w:hAnsi="Times New Roman"/>
          <w:sz w:val="20"/>
        </w:rPr>
        <w:t>techniki obiecywały ludzkości wykorzenienie zabobonów, magii, czarów i kontaktowania się ze sferą nadprzyrodzoną. Jedynym sukcesem modernizmu w tym zakresie wydaje się być podkopanie wiary w</w:t>
      </w:r>
      <w:r w:rsidR="00D3496D">
        <w:rPr>
          <w:rFonts w:ascii="Times New Roman" w:hAnsi="Times New Roman"/>
          <w:sz w:val="20"/>
        </w:rPr>
        <w:t> </w:t>
      </w:r>
      <w:r w:rsidRPr="00074492">
        <w:rPr>
          <w:rFonts w:ascii="Times New Roman" w:hAnsi="Times New Roman"/>
          <w:sz w:val="20"/>
        </w:rPr>
        <w:t>chrześcijańskiego Boga wśród mieszkańców Zachodu. Modernizm nigdy nie wykorzenił zainteresowania sferą nadprzyrodzoną w zachodnich społeczeństwach. Wskutek tego społeczeństwa zachodnie stały się zeświecczone i</w:t>
      </w:r>
      <w:r w:rsidR="00D3496D">
        <w:rPr>
          <w:rFonts w:ascii="Times New Roman" w:hAnsi="Times New Roman"/>
          <w:sz w:val="20"/>
        </w:rPr>
        <w:t> </w:t>
      </w:r>
      <w:r w:rsidRPr="00074492">
        <w:rPr>
          <w:rFonts w:ascii="Times New Roman" w:hAnsi="Times New Roman"/>
          <w:sz w:val="20"/>
        </w:rPr>
        <w:t xml:space="preserve"> ateistyczne, ale nie uwolniły się od spirytualizmu. Przeciwnie, w drugiej połowie XIX wieku nastąpiło </w:t>
      </w:r>
      <w:proofErr w:type="spellStart"/>
      <w:r w:rsidRPr="00074492">
        <w:rPr>
          <w:rFonts w:ascii="Times New Roman" w:hAnsi="Times New Roman"/>
          <w:sz w:val="20"/>
        </w:rPr>
        <w:t>ajwiększe</w:t>
      </w:r>
      <w:proofErr w:type="spellEnd"/>
      <w:r w:rsidRPr="00074492">
        <w:rPr>
          <w:rFonts w:ascii="Times New Roman" w:hAnsi="Times New Roman"/>
          <w:sz w:val="20"/>
        </w:rPr>
        <w:t xml:space="preserve"> znane w dziejach odrodzenie spirytualizmu, spirytyzmu, okultyzmu, czarów i magii. Pod koniec XX wieku sam modernizm walczył o przetrwanie, jako że dzieci postmodernizmu karmią się okultystycznymi opowieściami w formie książek, filmów animowanych i filmów fabularnych pełnych nadprzyrodzonych mocy, magii, czarów i</w:t>
      </w:r>
      <w:r w:rsidR="00D3496D">
        <w:rPr>
          <w:rFonts w:ascii="Times New Roman" w:hAnsi="Times New Roman"/>
          <w:sz w:val="20"/>
        </w:rPr>
        <w:t> </w:t>
      </w:r>
      <w:r w:rsidRPr="00074492">
        <w:rPr>
          <w:rFonts w:ascii="Times New Roman" w:hAnsi="Times New Roman"/>
          <w:sz w:val="20"/>
        </w:rPr>
        <w:t>komunikowania się ze zmarłymi.</w:t>
      </w:r>
    </w:p>
    <w:p w14:paraId="6BF7955E" w14:textId="77777777" w:rsidR="0094250F" w:rsidRPr="00074492" w:rsidRDefault="0094250F" w:rsidP="0094250F">
      <w:pPr>
        <w:rPr>
          <w:rFonts w:ascii="Times New Roman" w:hAnsi="Times New Roman"/>
          <w:sz w:val="20"/>
        </w:rPr>
      </w:pPr>
      <w:r w:rsidRPr="00074492">
        <w:rPr>
          <w:rFonts w:ascii="Times New Roman" w:hAnsi="Times New Roman"/>
          <w:sz w:val="20"/>
        </w:rPr>
        <w:t>To, co obecnie znamy jako doświadczenia bliskie śmierci, jest kolejnym przejawem tej samej zasady. Niestety, także wielu chrześcijan postrzega te doświadczenia jako dowód, że zmarli nie umierają do końca, ale przechodzą w inną sferę egzystencji.</w:t>
      </w:r>
    </w:p>
    <w:p w14:paraId="142A1F14" w14:textId="77777777" w:rsidR="0094250F" w:rsidRPr="00074492" w:rsidRDefault="0094250F" w:rsidP="0094250F">
      <w:pPr>
        <w:rPr>
          <w:rFonts w:ascii="Times New Roman" w:hAnsi="Times New Roman"/>
          <w:sz w:val="20"/>
        </w:rPr>
      </w:pPr>
    </w:p>
    <w:p w14:paraId="2EF6F358" w14:textId="77777777" w:rsidR="0094250F" w:rsidRPr="00074492" w:rsidRDefault="0094250F" w:rsidP="0094250F">
      <w:pPr>
        <w:rPr>
          <w:rFonts w:ascii="Times New Roman" w:hAnsi="Times New Roman"/>
          <w:b/>
          <w:sz w:val="20"/>
        </w:rPr>
      </w:pPr>
      <w:r w:rsidRPr="00074492">
        <w:rPr>
          <w:rFonts w:ascii="Times New Roman" w:hAnsi="Times New Roman"/>
          <w:b/>
          <w:sz w:val="20"/>
        </w:rPr>
        <w:t>Spirytualizm a wielki bój</w:t>
      </w:r>
    </w:p>
    <w:p w14:paraId="52E24FD5"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Jaka jest rola spirytualizmu w diabelskiej strategii w ramach wielkiego boju? Popularyzując spirytualizm diabeł usiłuje wyjaśnić i potwierdzić swoje zasadnicze zwiedzenie, od którego rozpoczął się wielki bój, mianowicie iż:</w:t>
      </w:r>
    </w:p>
    <w:p w14:paraId="4F1D888D"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Bóg nie jest jedynym Bogiem, ale wszyscy jesteśmy bogami,</w:t>
      </w:r>
    </w:p>
    <w:p w14:paraId="3B0C71D3"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mamy życie sami w sobie,</w:t>
      </w:r>
    </w:p>
    <w:p w14:paraId="67777501"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posiadamy duchowy składnik naszej istoty (niematerialną, eteryczną duszę), który jest niezniszczalny, nieśmiertelny i wieczny,</w:t>
      </w:r>
    </w:p>
    <w:p w14:paraId="6CD0A0E5"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jesteśmy moralnie autonomiczni.</w:t>
      </w:r>
    </w:p>
    <w:p w14:paraId="55125A87" w14:textId="49F31BD8"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Upadek ludzkości w grzech spowodował niezmierzone cierpienia, zniszczenia i śmierć, doświadczalnie dowodząc, iż diabeł się myli. W tej sytuacji ludzie słusznie powinni wątpić szatańskiej tezie, według której bunt przeciwko Bogu nie prowadzi do śmierci, ale na inny, boski poziom istnienia i świadomości. </w:t>
      </w:r>
      <w:proofErr w:type="spellStart"/>
      <w:r w:rsidRPr="00074492">
        <w:rPr>
          <w:rFonts w:ascii="Times New Roman" w:hAnsi="Times New Roman"/>
          <w:sz w:val="20"/>
        </w:rPr>
        <w:t>Spirytualizmw</w:t>
      </w:r>
      <w:proofErr w:type="spellEnd"/>
      <w:r w:rsidR="00D3496D">
        <w:rPr>
          <w:rFonts w:ascii="Times New Roman" w:hAnsi="Times New Roman"/>
          <w:sz w:val="20"/>
        </w:rPr>
        <w:t> </w:t>
      </w:r>
      <w:r w:rsidRPr="00074492">
        <w:rPr>
          <w:rFonts w:ascii="Times New Roman" w:hAnsi="Times New Roman"/>
          <w:sz w:val="20"/>
        </w:rPr>
        <w:t xml:space="preserve"> różnych formach jest zatem diabelską próbą przedefiniowania śmierci i utwierdzenia ludzi w</w:t>
      </w:r>
      <w:r w:rsidR="00D3496D">
        <w:rPr>
          <w:rFonts w:ascii="Times New Roman" w:hAnsi="Times New Roman"/>
          <w:sz w:val="20"/>
        </w:rPr>
        <w:t> </w:t>
      </w:r>
      <w:r w:rsidRPr="00074492">
        <w:rPr>
          <w:rFonts w:ascii="Times New Roman" w:hAnsi="Times New Roman"/>
          <w:sz w:val="20"/>
        </w:rPr>
        <w:t xml:space="preserve"> wierzeniu, iż tylko ciało umiera, a dusza przechodzi do wyższej formy </w:t>
      </w:r>
      <w:proofErr w:type="spellStart"/>
      <w:r w:rsidRPr="00074492">
        <w:rPr>
          <w:rFonts w:ascii="Times New Roman" w:hAnsi="Times New Roman"/>
          <w:sz w:val="20"/>
        </w:rPr>
        <w:t>życia.Diabeł</w:t>
      </w:r>
      <w:proofErr w:type="spellEnd"/>
      <w:r w:rsidRPr="00074492">
        <w:rPr>
          <w:rFonts w:ascii="Times New Roman" w:hAnsi="Times New Roman"/>
          <w:sz w:val="20"/>
        </w:rPr>
        <w:t xml:space="preserve"> posługuje się spirytualizmem także w celu zwodzenia ludzi ku bezpośredniemu, osobistemu komunikowaniu się z nim i jego demonami. </w:t>
      </w:r>
      <w:r w:rsidRPr="00074492">
        <w:rPr>
          <w:rFonts w:ascii="Times New Roman" w:hAnsi="Times New Roman"/>
          <w:i/>
          <w:iCs/>
          <w:sz w:val="20"/>
        </w:rPr>
        <w:t>Biblia</w:t>
      </w:r>
      <w:r w:rsidRPr="00074492">
        <w:rPr>
          <w:rFonts w:ascii="Times New Roman" w:hAnsi="Times New Roman"/>
          <w:sz w:val="20"/>
        </w:rPr>
        <w:t xml:space="preserve"> wyraźnie uczy, że za zjawiskami spirytualistycznymi, w tym bałwochwalstwem, stoi nie kto inny, jak demony, upadli aniołowie </w:t>
      </w:r>
      <w:r w:rsidRPr="00074492">
        <w:rPr>
          <w:rFonts w:ascii="Times New Roman" w:hAnsi="Times New Roman"/>
          <w:iCs/>
          <w:sz w:val="20"/>
        </w:rPr>
        <w:t>(1 Kor 10,20)</w:t>
      </w:r>
      <w:r w:rsidRPr="00074492">
        <w:rPr>
          <w:rFonts w:ascii="Times New Roman" w:hAnsi="Times New Roman"/>
          <w:sz w:val="20"/>
        </w:rPr>
        <w:t xml:space="preserve">. Komunikowanie się z nimi jest niebezpieczne nie tylko ze względu na ich zwodniczość </w:t>
      </w:r>
      <w:r w:rsidRPr="00074492">
        <w:rPr>
          <w:rFonts w:ascii="Times New Roman" w:hAnsi="Times New Roman"/>
          <w:iCs/>
          <w:sz w:val="20"/>
        </w:rPr>
        <w:t xml:space="preserve">(J 8,44) </w:t>
      </w:r>
      <w:r w:rsidRPr="00074492">
        <w:rPr>
          <w:rFonts w:ascii="Times New Roman" w:hAnsi="Times New Roman"/>
          <w:sz w:val="20"/>
        </w:rPr>
        <w:t xml:space="preserve">i nieczyste dążenia </w:t>
      </w:r>
      <w:r w:rsidRPr="00074492">
        <w:rPr>
          <w:rFonts w:ascii="Times New Roman" w:hAnsi="Times New Roman"/>
          <w:iCs/>
          <w:sz w:val="20"/>
        </w:rPr>
        <w:t>(</w:t>
      </w:r>
      <w:proofErr w:type="spellStart"/>
      <w:r w:rsidRPr="00074492">
        <w:rPr>
          <w:rFonts w:ascii="Times New Roman" w:hAnsi="Times New Roman"/>
          <w:iCs/>
          <w:sz w:val="20"/>
        </w:rPr>
        <w:t>Mk</w:t>
      </w:r>
      <w:proofErr w:type="spellEnd"/>
      <w:r w:rsidRPr="00074492">
        <w:rPr>
          <w:rFonts w:ascii="Times New Roman" w:hAnsi="Times New Roman"/>
          <w:iCs/>
          <w:sz w:val="20"/>
        </w:rPr>
        <w:t> 5,2)</w:t>
      </w:r>
      <w:r w:rsidRPr="00074492">
        <w:rPr>
          <w:rFonts w:ascii="Times New Roman" w:hAnsi="Times New Roman"/>
          <w:sz w:val="20"/>
        </w:rPr>
        <w:t xml:space="preserve">, ale także dlatego, że niejednokrotnie może prowadzić do demonicznej opresji i zdemonizowania czyli opętania demonicznego polegającego na opanowaniu i zniewoleniu człowieka przez jednego lub więcej demonów. Z różnych powodów w ramach swojej strategii demony nie są w stanie posiadać i kontrolować wszystkich w jednakowy sposób. Jednak siły demoniczne stale </w:t>
      </w:r>
      <w:r w:rsidRPr="00074492">
        <w:rPr>
          <w:rFonts w:ascii="Times New Roman" w:hAnsi="Times New Roman"/>
          <w:sz w:val="20"/>
        </w:rPr>
        <w:lastRenderedPageBreak/>
        <w:t>wymyślają rozmaite sidła, by uwikłać możliwie najwięcej ludzi i zatrzymać ich po swojej stronie w wielkim boju. Apostoł Piotr ostrzega nas: „</w:t>
      </w:r>
      <w:r w:rsidRPr="00074492">
        <w:rPr>
          <w:rFonts w:ascii="Times New Roman" w:hAnsi="Times New Roman"/>
          <w:color w:val="000000"/>
          <w:sz w:val="20"/>
        </w:rPr>
        <w:t>Przeciwnik wasz, diabeł, jak lew ryczący krąży szukając kogo pożreć</w:t>
      </w:r>
      <w:r w:rsidRPr="00074492">
        <w:rPr>
          <w:rFonts w:ascii="Times New Roman" w:hAnsi="Times New Roman"/>
          <w:sz w:val="20"/>
        </w:rPr>
        <w:t xml:space="preserve">” </w:t>
      </w:r>
      <w:r w:rsidRPr="00074492">
        <w:rPr>
          <w:rFonts w:ascii="Times New Roman" w:hAnsi="Times New Roman"/>
          <w:iCs/>
          <w:sz w:val="20"/>
        </w:rPr>
        <w:t>(1 P 5,8)</w:t>
      </w:r>
      <w:r w:rsidRPr="00074492">
        <w:rPr>
          <w:rFonts w:ascii="Times New Roman" w:hAnsi="Times New Roman"/>
          <w:sz w:val="20"/>
        </w:rPr>
        <w:t>.</w:t>
      </w:r>
    </w:p>
    <w:p w14:paraId="3C27C742"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5D13FD20"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b/>
          <w:bCs/>
          <w:sz w:val="20"/>
        </w:rPr>
        <w:t>Moc Chrystusa</w:t>
      </w:r>
    </w:p>
    <w:p w14:paraId="62E29FC5" w14:textId="4E71532F"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Mimo wysiłków diabła Chrystus uwalniając ludzi spod władzy demonów </w:t>
      </w:r>
      <w:r w:rsidRPr="00074492">
        <w:rPr>
          <w:rFonts w:ascii="Times New Roman" w:hAnsi="Times New Roman"/>
          <w:iCs/>
          <w:sz w:val="20"/>
        </w:rPr>
        <w:t>(np. </w:t>
      </w:r>
      <w:proofErr w:type="spellStart"/>
      <w:r w:rsidRPr="00074492">
        <w:rPr>
          <w:rFonts w:ascii="Times New Roman" w:hAnsi="Times New Roman"/>
          <w:iCs/>
          <w:sz w:val="20"/>
        </w:rPr>
        <w:t>Łk</w:t>
      </w:r>
      <w:proofErr w:type="spellEnd"/>
      <w:r w:rsidRPr="00074492">
        <w:rPr>
          <w:rFonts w:ascii="Times New Roman" w:hAnsi="Times New Roman"/>
          <w:iCs/>
          <w:sz w:val="20"/>
        </w:rPr>
        <w:t xml:space="preserve"> 8,26-33; Mt 12,45) </w:t>
      </w:r>
      <w:r w:rsidRPr="00074492">
        <w:rPr>
          <w:rFonts w:ascii="Times New Roman" w:hAnsi="Times New Roman"/>
          <w:sz w:val="20"/>
        </w:rPr>
        <w:t>wykazał swoją moc wyzwalania nas spod panowania szatana. Adwentyści dnia siódmego głoszą zwycięstwo Chrystusa nie tylko w finale wielkiego boju, ale tu i teraz, pośród nas. Dlatego podczas Zjazdu Generalnej Konferencji w St. Louis w 2005 roku Kościół Adwentystów Dnia Siódmego przyjął dodatkową fundamentalną zasadę wiary opatrzoną numerem 11 poświęconą właśnie temu zagadnieniu: „Oddając życie na krzyżu, Jezus zatryumfował nad siłami zła. Ten, który podczas swojej ziemskiej działalności panował nad demonicznymi duchami, ostatecznie przełamał ich moc i przypieczętował ich zagładę. Kiedy chodzimy z Nim w pokoju, radości i pewności Jego miłości, wówczas tryumf Jezusa daje nam zwycięstwo nad siłami zła, które stale dążą do panowania nad nami. Stale oddani Jezusowi jako naszemu Zbawicielowi i Panu, zostajemy uwolnieni od ciężaru naszych złych uczynków z przeszłości. Nie jesteśmy skazani na życie w ciemności, lęku przed złymi mocami, nieświadomości i poczuciu bezsensowności, jakie wynikają z naszej wcześniejszej egzystencji. W tej nowej wolności w Jezusie zostajemy powołani do wzrastania na podobieństwo Jego charakteru, trwając w codziennej łączności z Nim przez modlitwę, karmienie się Jego Słowem, rozmyślanie o nim i o Jego opatrzności, śpiewanie na Jego chwałę, uczestniczenie we wspólnych nabożeństwach i udział w misji Kościoła. Kiedy w służbie miłości działamy dla dobra bliźnich i wydajemy świadectwo Jego zbawienia, wówczas Jego stała obecność przez Ducha Świętego przekształca każdą chwilę i każde zadanie w duchowe doświadczenie” (</w:t>
      </w:r>
      <w:r w:rsidRPr="00074492">
        <w:rPr>
          <w:rFonts w:ascii="Times New Roman" w:hAnsi="Times New Roman"/>
          <w:i/>
          <w:sz w:val="20"/>
        </w:rPr>
        <w:t>Wierzyć tak jak Jezus</w:t>
      </w:r>
      <w:r w:rsidRPr="00074492">
        <w:rPr>
          <w:rFonts w:ascii="Times New Roman" w:hAnsi="Times New Roman"/>
          <w:sz w:val="20"/>
        </w:rPr>
        <w:t>, wyd. 2, Warszawa 2007, s. 144).</w:t>
      </w:r>
    </w:p>
    <w:p w14:paraId="2B183F08" w14:textId="51D35688"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 xml:space="preserve">Początkowo ta fundamentalna zasada wiary okazała się konieczna ze względu na sytuację w niektórych częściach świata, takich jak Azja i Afryka, w których chrześcijanie w ogólności, a nawet niektórzy adwentyści dnia siódmego nie rozumieli wyraźnie, że </w:t>
      </w:r>
      <w:r w:rsidRPr="00074492">
        <w:rPr>
          <w:rFonts w:ascii="Times New Roman" w:hAnsi="Times New Roman"/>
          <w:i/>
          <w:iCs/>
          <w:sz w:val="20"/>
        </w:rPr>
        <w:t>Pismo Święte</w:t>
      </w:r>
      <w:r w:rsidRPr="00074492">
        <w:rPr>
          <w:rFonts w:ascii="Times New Roman" w:hAnsi="Times New Roman"/>
          <w:sz w:val="20"/>
        </w:rPr>
        <w:t xml:space="preserve"> odrzuca wszelkie praktyki okultystyczne. Ponadto zdarzało się, że adwentyści w tych regionach świata, nawet rozumiejąc, że </w:t>
      </w:r>
      <w:r w:rsidRPr="00074492">
        <w:rPr>
          <w:rFonts w:ascii="Times New Roman" w:hAnsi="Times New Roman"/>
          <w:i/>
          <w:iCs/>
          <w:sz w:val="20"/>
        </w:rPr>
        <w:t>Biblia</w:t>
      </w:r>
      <w:r w:rsidRPr="00074492">
        <w:rPr>
          <w:rFonts w:ascii="Times New Roman" w:hAnsi="Times New Roman"/>
          <w:sz w:val="20"/>
        </w:rPr>
        <w:t xml:space="preserve"> sprzeciwia się wszelkimi spirytualistycznym praktykom, nie byli skłonni porzucić tego rodzaju praktyk i nauk, gdyż obawiali się zemsty ze strony duchów. Musimy zdać sobie sprawę, że spirytualizm, spirytyzm i okultyzm szerzą się nie tylko w Afryce i</w:t>
      </w:r>
      <w:r w:rsidR="00D3496D">
        <w:rPr>
          <w:rFonts w:ascii="Times New Roman" w:hAnsi="Times New Roman"/>
          <w:sz w:val="20"/>
        </w:rPr>
        <w:t> </w:t>
      </w:r>
      <w:r w:rsidRPr="00074492">
        <w:rPr>
          <w:rFonts w:ascii="Times New Roman" w:hAnsi="Times New Roman"/>
          <w:sz w:val="20"/>
        </w:rPr>
        <w:t>Azji, ale na całym świecie. Zatem fundamentalna zasada wiary nr 11 jest skierowana do wszystkich ludzi. Bez względu na nasze kulturowe i społeczne pochodzenie wszyscy potrzebujemy tego samego przesłania ewangelii: „</w:t>
      </w:r>
      <w:r w:rsidRPr="00074492">
        <w:rPr>
          <w:rFonts w:ascii="Times New Roman" w:hAnsi="Times New Roman"/>
          <w:color w:val="000000"/>
          <w:sz w:val="20"/>
        </w:rPr>
        <w:t>Moje owce słuchają mego głosu, a Ja znam je. Idą one za Mną i Ja daję im życie wieczne. Nie zginą one na wieki i nikt nie wyrwie ich z mojej ręki. Ojciec mój, który Mi je dał, jest większy od wszystkich. I nikt nie może ich wyrwać z ręki mego Ojca</w:t>
      </w:r>
      <w:r w:rsidRPr="00074492">
        <w:rPr>
          <w:rFonts w:ascii="Times New Roman" w:hAnsi="Times New Roman"/>
          <w:sz w:val="20"/>
        </w:rPr>
        <w:t xml:space="preserve">” </w:t>
      </w:r>
      <w:r w:rsidRPr="00074492">
        <w:rPr>
          <w:rFonts w:ascii="Times New Roman" w:hAnsi="Times New Roman"/>
          <w:iCs/>
          <w:sz w:val="20"/>
        </w:rPr>
        <w:t>(J 10,27-29)</w:t>
      </w:r>
      <w:r w:rsidRPr="00074492">
        <w:rPr>
          <w:rFonts w:ascii="Times New Roman" w:hAnsi="Times New Roman"/>
          <w:sz w:val="20"/>
        </w:rPr>
        <w:t>.</w:t>
      </w:r>
    </w:p>
    <w:p w14:paraId="5C36D00D" w14:textId="47136D94"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3DD85AC4" w14:textId="0E3EE65E" w:rsidR="0094250F" w:rsidRPr="00074492" w:rsidRDefault="0094250F" w:rsidP="0094250F">
      <w:pPr>
        <w:rPr>
          <w:rFonts w:ascii="Times New Roman" w:hAnsi="Times New Roman"/>
          <w:sz w:val="20"/>
        </w:rPr>
      </w:pPr>
      <w:r w:rsidRPr="00074492">
        <w:rPr>
          <w:rFonts w:ascii="Times New Roman" w:hAnsi="Times New Roman"/>
          <w:b/>
          <w:sz w:val="20"/>
        </w:rPr>
        <w:t>Część III: Zastosowanie</w:t>
      </w:r>
    </w:p>
    <w:p w14:paraId="301ED517" w14:textId="77777777" w:rsidR="0094250F" w:rsidRPr="00074492" w:rsidRDefault="0094250F" w:rsidP="0094250F">
      <w:pPr>
        <w:rPr>
          <w:rFonts w:ascii="Times New Roman" w:hAnsi="Times New Roman"/>
          <w:sz w:val="20"/>
        </w:rPr>
      </w:pPr>
    </w:p>
    <w:p w14:paraId="29E19C90" w14:textId="134456B2"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1. Jak w twojej kulturze rozumiana jest ludzka natura i śmierć? Jak możesz przedstawiać twoim rodakom prawdę o śmierci przedstawioną w Słowie Bożym?</w:t>
      </w:r>
    </w:p>
    <w:p w14:paraId="4F40058C" w14:textId="03AC44C4"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66219F67" w14:textId="33AB9199" w:rsidR="0094250F" w:rsidRPr="00074492" w:rsidRDefault="007221E2"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7E072A7B" wp14:editId="66BE4A18">
                <wp:simplePos x="0" y="0"/>
                <wp:positionH relativeFrom="column">
                  <wp:posOffset>-160655</wp:posOffset>
                </wp:positionH>
                <wp:positionV relativeFrom="paragraph">
                  <wp:posOffset>111760</wp:posOffset>
                </wp:positionV>
                <wp:extent cx="6408420" cy="1996440"/>
                <wp:effectExtent l="0" t="0" r="0" b="3810"/>
                <wp:wrapNone/>
                <wp:docPr id="894724503" name="Pole tekstowe 4"/>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7221E2" w14:paraId="508383D6"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3261F3DE" w14:textId="66B701A5" w:rsidR="007221E2" w:rsidRDefault="007221E2">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73F5A904" wp14:editId="0D0728DB">
                                        <wp:extent cx="899160" cy="845820"/>
                                        <wp:effectExtent l="0" t="0" r="0" b="0"/>
                                        <wp:docPr id="1465446421" name="Obraz 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72D55766" w14:textId="77777777" w:rsidR="007221E2" w:rsidRDefault="007221E2">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D86D664" w14:textId="77777777" w:rsidR="007221E2" w:rsidRDefault="007221E2" w:rsidP="007221E2">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38DBC1B9" w14:textId="77777777" w:rsidR="007221E2" w:rsidRDefault="007221E2" w:rsidP="007221E2">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61A3B8BC" w14:textId="77777777" w:rsidR="007221E2" w:rsidRDefault="007221E2">
                                  <w:pPr>
                                    <w:spacing w:line="276" w:lineRule="auto"/>
                                    <w:ind w:left="209" w:firstLine="0"/>
                                    <w:contextualSpacing/>
                                    <w:jc w:val="left"/>
                                    <w:rPr>
                                      <w:rFonts w:ascii="Aptos" w:eastAsia="Aptos" w:hAnsi="Aptos"/>
                                      <w:b/>
                                      <w:bCs/>
                                      <w:sz w:val="18"/>
                                      <w:szCs w:val="18"/>
                                      <w:lang w:eastAsia="en-US"/>
                                    </w:rPr>
                                  </w:pPr>
                                </w:p>
                                <w:p w14:paraId="60F2FF07" w14:textId="77777777" w:rsidR="007221E2" w:rsidRDefault="007221E2">
                                  <w:pPr>
                                    <w:spacing w:line="276" w:lineRule="auto"/>
                                    <w:ind w:left="209" w:firstLine="0"/>
                                    <w:contextualSpacing/>
                                    <w:jc w:val="center"/>
                                    <w:rPr>
                                      <w:rFonts w:ascii="Aptos" w:eastAsia="Aptos" w:hAnsi="Aptos"/>
                                      <w:b/>
                                      <w:bCs/>
                                      <w:sz w:val="18"/>
                                      <w:szCs w:val="18"/>
                                      <w:lang w:eastAsia="en-US"/>
                                    </w:rPr>
                                  </w:pPr>
                                </w:p>
                                <w:p w14:paraId="652E9D9C" w14:textId="77777777" w:rsidR="007221E2" w:rsidRDefault="007221E2">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4861635B" w14:textId="77777777" w:rsidR="007221E2" w:rsidRDefault="007221E2">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5B2D734C" w14:textId="77777777" w:rsidR="007221E2" w:rsidRDefault="007221E2">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AD1142" w14:textId="77777777" w:rsidR="007221E2" w:rsidRDefault="007221E2" w:rsidP="007221E2">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7F7C0B55" w14:textId="77777777" w:rsidR="007221E2" w:rsidRDefault="007221E2" w:rsidP="007221E2">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54CBAD8B" w14:textId="77777777" w:rsidR="007221E2" w:rsidRDefault="007221E2" w:rsidP="007221E2">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24CD9C78" w14:textId="77777777" w:rsidR="007221E2" w:rsidRDefault="007221E2" w:rsidP="007221E2">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EF85B71" w14:textId="77777777" w:rsidR="007221E2" w:rsidRDefault="007221E2">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18D8F291" w14:textId="77777777" w:rsidR="007221E2" w:rsidRDefault="007221E2">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55DE6989" w14:textId="77777777" w:rsidR="007221E2" w:rsidRDefault="007221E2">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60658521" w14:textId="77777777" w:rsidR="007221E2" w:rsidRDefault="007221E2" w:rsidP="007221E2"/>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72A7B" id="_x0000_t202" coordsize="21600,21600" o:spt="202" path="m,l,21600r21600,l21600,xe">
                <v:stroke joinstyle="miter"/>
                <v:path gradientshapeok="t" o:connecttype="rect"/>
              </v:shapetype>
              <v:shape id="Pole tekstowe 4" o:spid="_x0000_s1026" type="#_x0000_t202" style="position:absolute;left:0;text-align:left;margin-left:-12.65pt;margin-top:8.8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7221E2" w14:paraId="508383D6"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3261F3DE" w14:textId="66B701A5" w:rsidR="007221E2" w:rsidRDefault="007221E2">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73F5A904" wp14:editId="0D0728DB">
                                  <wp:extent cx="899160" cy="845820"/>
                                  <wp:effectExtent l="0" t="0" r="0" b="0"/>
                                  <wp:docPr id="1465446421" name="Obraz 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72D55766" w14:textId="77777777" w:rsidR="007221E2" w:rsidRDefault="007221E2">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D86D664" w14:textId="77777777" w:rsidR="007221E2" w:rsidRDefault="007221E2" w:rsidP="007221E2">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38DBC1B9" w14:textId="77777777" w:rsidR="007221E2" w:rsidRDefault="007221E2" w:rsidP="007221E2">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61A3B8BC" w14:textId="77777777" w:rsidR="007221E2" w:rsidRDefault="007221E2">
                            <w:pPr>
                              <w:spacing w:line="276" w:lineRule="auto"/>
                              <w:ind w:left="209" w:firstLine="0"/>
                              <w:contextualSpacing/>
                              <w:jc w:val="left"/>
                              <w:rPr>
                                <w:rFonts w:ascii="Aptos" w:eastAsia="Aptos" w:hAnsi="Aptos"/>
                                <w:b/>
                                <w:bCs/>
                                <w:sz w:val="18"/>
                                <w:szCs w:val="18"/>
                                <w:lang w:eastAsia="en-US"/>
                              </w:rPr>
                            </w:pPr>
                          </w:p>
                          <w:p w14:paraId="60F2FF07" w14:textId="77777777" w:rsidR="007221E2" w:rsidRDefault="007221E2">
                            <w:pPr>
                              <w:spacing w:line="276" w:lineRule="auto"/>
                              <w:ind w:left="209" w:firstLine="0"/>
                              <w:contextualSpacing/>
                              <w:jc w:val="center"/>
                              <w:rPr>
                                <w:rFonts w:ascii="Aptos" w:eastAsia="Aptos" w:hAnsi="Aptos"/>
                                <w:b/>
                                <w:bCs/>
                                <w:sz w:val="18"/>
                                <w:szCs w:val="18"/>
                                <w:lang w:eastAsia="en-US"/>
                              </w:rPr>
                            </w:pPr>
                          </w:p>
                          <w:p w14:paraId="652E9D9C" w14:textId="77777777" w:rsidR="007221E2" w:rsidRDefault="007221E2">
                            <w:pPr>
                              <w:spacing w:line="276" w:lineRule="auto"/>
                              <w:ind w:left="209" w:firstLine="0"/>
                              <w:contextualSpacing/>
                              <w:jc w:val="center"/>
                              <w:rPr>
                                <w:rFonts w:ascii="Aptos" w:eastAsia="Aptos" w:hAnsi="Aptos"/>
                                <w:b/>
                                <w:bCs/>
                                <w:sz w:val="18"/>
                                <w:szCs w:val="18"/>
                                <w:lang w:eastAsia="en-US"/>
                              </w:rPr>
                            </w:pPr>
                            <w:hyperlink r:id="rId13"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4861635B" w14:textId="77777777" w:rsidR="007221E2" w:rsidRDefault="007221E2">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5B2D734C" w14:textId="77777777" w:rsidR="007221E2" w:rsidRDefault="007221E2">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AD1142" w14:textId="77777777" w:rsidR="007221E2" w:rsidRDefault="007221E2" w:rsidP="007221E2">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7F7C0B55" w14:textId="77777777" w:rsidR="007221E2" w:rsidRDefault="007221E2" w:rsidP="007221E2">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54CBAD8B" w14:textId="77777777" w:rsidR="007221E2" w:rsidRDefault="007221E2" w:rsidP="007221E2">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24CD9C78" w14:textId="77777777" w:rsidR="007221E2" w:rsidRDefault="007221E2" w:rsidP="007221E2">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EF85B71" w14:textId="77777777" w:rsidR="007221E2" w:rsidRDefault="007221E2">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18D8F291" w14:textId="77777777" w:rsidR="007221E2" w:rsidRDefault="007221E2">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55DE6989" w14:textId="77777777" w:rsidR="007221E2" w:rsidRDefault="007221E2">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60658521" w14:textId="77777777" w:rsidR="007221E2" w:rsidRDefault="007221E2" w:rsidP="007221E2"/>
                  </w:txbxContent>
                </v:textbox>
              </v:shape>
            </w:pict>
          </mc:Fallback>
        </mc:AlternateContent>
      </w:r>
      <w:r w:rsidR="0094250F" w:rsidRPr="00074492">
        <w:rPr>
          <w:rFonts w:ascii="Times New Roman" w:hAnsi="Times New Roman"/>
          <w:sz w:val="20"/>
        </w:rPr>
        <w:t>...</w:t>
      </w:r>
    </w:p>
    <w:p w14:paraId="32ED2090"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4E070E9A" w14:textId="3DB02EC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074492">
        <w:rPr>
          <w:rFonts w:ascii="Times New Roman" w:hAnsi="Times New Roman"/>
          <w:sz w:val="20"/>
        </w:rPr>
        <w:t>2. Jak w twojej kulturze rozumiane jest piekło? W jaki sposób ty i twój zbór możecie głosić w</w:t>
      </w:r>
      <w:r w:rsidR="00D3496D">
        <w:rPr>
          <w:rFonts w:ascii="Times New Roman" w:hAnsi="Times New Roman"/>
          <w:sz w:val="20"/>
        </w:rPr>
        <w:t> </w:t>
      </w:r>
      <w:r w:rsidRPr="00074492">
        <w:rPr>
          <w:rFonts w:ascii="Times New Roman" w:hAnsi="Times New Roman"/>
          <w:sz w:val="20"/>
        </w:rPr>
        <w:t>społeczeństwie biblijne zrozumienie piekła?</w:t>
      </w:r>
    </w:p>
    <w:p w14:paraId="7FC7FF0F" w14:textId="77777777" w:rsidR="0094250F" w:rsidRPr="00074492" w:rsidRDefault="0094250F" w:rsidP="009425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25FA607D" w14:textId="7964E0DB" w:rsidR="006A2EC2" w:rsidRDefault="006A2EC2" w:rsidP="0094250F">
      <w:pPr>
        <w:rPr>
          <w:rFonts w:ascii="Times New Roman" w:hAnsi="Times New Roman"/>
          <w:bCs/>
          <w:sz w:val="20"/>
        </w:rPr>
      </w:pPr>
    </w:p>
    <w:p w14:paraId="667AF9CA" w14:textId="77777777" w:rsidR="007221E2" w:rsidRDefault="007221E2" w:rsidP="0094250F">
      <w:pPr>
        <w:rPr>
          <w:rFonts w:ascii="Times New Roman" w:hAnsi="Times New Roman"/>
          <w:bCs/>
          <w:sz w:val="20"/>
        </w:rPr>
      </w:pPr>
    </w:p>
    <w:p w14:paraId="68855753" w14:textId="2493CCB2" w:rsidR="007221E2" w:rsidRPr="00267B4D" w:rsidRDefault="007221E2" w:rsidP="0094250F">
      <w:pPr>
        <w:rPr>
          <w:rFonts w:ascii="Times New Roman" w:hAnsi="Times New Roman"/>
          <w:bCs/>
          <w:sz w:val="20"/>
        </w:rPr>
      </w:pPr>
    </w:p>
    <w:sectPr w:rsidR="007221E2" w:rsidRPr="00267B4D" w:rsidSect="00695B50">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67C2A" w14:textId="77777777" w:rsidR="00695B50" w:rsidRDefault="00695B50" w:rsidP="00A820C9">
      <w:r>
        <w:separator/>
      </w:r>
    </w:p>
  </w:endnote>
  <w:endnote w:type="continuationSeparator" w:id="0">
    <w:p w14:paraId="4A8EB2A6" w14:textId="77777777" w:rsidR="00695B50" w:rsidRDefault="00695B5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BAB72" w14:textId="77777777" w:rsidR="00695B50" w:rsidRDefault="00695B50" w:rsidP="00A820C9">
      <w:r>
        <w:separator/>
      </w:r>
    </w:p>
  </w:footnote>
  <w:footnote w:type="continuationSeparator" w:id="0">
    <w:p w14:paraId="6BC605BA" w14:textId="77777777" w:rsidR="00695B50" w:rsidRDefault="00695B5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3534DD15"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2A3321">
      <w:rPr>
        <w:rFonts w:ascii="Times New Roman" w:hAnsi="Times New Roman"/>
        <w:sz w:val="16"/>
        <w:szCs w:val="16"/>
      </w:rPr>
      <w:t>10</w:t>
    </w:r>
    <w:r w:rsidR="00D07327">
      <w:rPr>
        <w:rFonts w:ascii="Times New Roman" w:hAnsi="Times New Roman"/>
        <w:sz w:val="16"/>
        <w:szCs w:val="16"/>
      </w:rPr>
      <w:t xml:space="preserve">- </w:t>
    </w:r>
    <w:r w:rsidR="002A3321">
      <w:rPr>
        <w:rFonts w:ascii="Times New Roman" w:hAnsi="Times New Roman"/>
        <w:bCs/>
        <w:i/>
        <w:iCs/>
        <w:sz w:val="16"/>
        <w:szCs w:val="16"/>
      </w:rPr>
      <w:t>Zdemaskowanie spirytyzmu</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10179495">
    <w:abstractNumId w:val="2"/>
    <w:lvlOverride w:ilvl="0"/>
    <w:lvlOverride w:ilvl="1"/>
    <w:lvlOverride w:ilvl="2"/>
    <w:lvlOverride w:ilvl="3"/>
    <w:lvlOverride w:ilvl="4"/>
    <w:lvlOverride w:ilvl="5"/>
    <w:lvlOverride w:ilvl="6"/>
    <w:lvlOverride w:ilvl="7"/>
    <w:lvlOverride w:ilvl="8"/>
  </w:num>
  <w:num w:numId="5" w16cid:durableId="80859888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3FFB"/>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0A2"/>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3321"/>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5D20"/>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40F1"/>
    <w:rsid w:val="00495FF0"/>
    <w:rsid w:val="004961E2"/>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BCC"/>
    <w:rsid w:val="004F7F95"/>
    <w:rsid w:val="00504576"/>
    <w:rsid w:val="0050690A"/>
    <w:rsid w:val="00512602"/>
    <w:rsid w:val="00512C47"/>
    <w:rsid w:val="005205E4"/>
    <w:rsid w:val="00521F52"/>
    <w:rsid w:val="00524B4C"/>
    <w:rsid w:val="00525008"/>
    <w:rsid w:val="00527468"/>
    <w:rsid w:val="00535F72"/>
    <w:rsid w:val="00541C6D"/>
    <w:rsid w:val="00542986"/>
    <w:rsid w:val="00544549"/>
    <w:rsid w:val="005449EA"/>
    <w:rsid w:val="00545A28"/>
    <w:rsid w:val="005462AA"/>
    <w:rsid w:val="00547F5F"/>
    <w:rsid w:val="00551C03"/>
    <w:rsid w:val="0055278B"/>
    <w:rsid w:val="005537F3"/>
    <w:rsid w:val="005538E5"/>
    <w:rsid w:val="005548FA"/>
    <w:rsid w:val="0055562E"/>
    <w:rsid w:val="00557DFF"/>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A37"/>
    <w:rsid w:val="00640B98"/>
    <w:rsid w:val="00642983"/>
    <w:rsid w:val="00645D50"/>
    <w:rsid w:val="00646C71"/>
    <w:rsid w:val="006522D3"/>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221E2"/>
    <w:rsid w:val="007250CC"/>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23F"/>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7F43F7"/>
    <w:rsid w:val="00806EFC"/>
    <w:rsid w:val="00810AEF"/>
    <w:rsid w:val="0081514B"/>
    <w:rsid w:val="008202AD"/>
    <w:rsid w:val="008261CA"/>
    <w:rsid w:val="00833A91"/>
    <w:rsid w:val="00836C7A"/>
    <w:rsid w:val="00836D23"/>
    <w:rsid w:val="00837409"/>
    <w:rsid w:val="00837D04"/>
    <w:rsid w:val="00840689"/>
    <w:rsid w:val="00845363"/>
    <w:rsid w:val="00853A10"/>
    <w:rsid w:val="008550A7"/>
    <w:rsid w:val="008572DB"/>
    <w:rsid w:val="0086228C"/>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1E4D"/>
    <w:rsid w:val="008B44EC"/>
    <w:rsid w:val="008B5785"/>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8F7134"/>
    <w:rsid w:val="009006D3"/>
    <w:rsid w:val="009039D9"/>
    <w:rsid w:val="00903AB3"/>
    <w:rsid w:val="00904615"/>
    <w:rsid w:val="00910645"/>
    <w:rsid w:val="009124E5"/>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2E38"/>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394B"/>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C4075"/>
    <w:rsid w:val="00CD0148"/>
    <w:rsid w:val="00CD0686"/>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96D"/>
    <w:rsid w:val="00D34B1B"/>
    <w:rsid w:val="00D43042"/>
    <w:rsid w:val="00D43CA9"/>
    <w:rsid w:val="00D447CB"/>
    <w:rsid w:val="00D459E9"/>
    <w:rsid w:val="00D45D54"/>
    <w:rsid w:val="00D460C5"/>
    <w:rsid w:val="00D5040D"/>
    <w:rsid w:val="00D51420"/>
    <w:rsid w:val="00D5746C"/>
    <w:rsid w:val="00D57745"/>
    <w:rsid w:val="00D645D1"/>
    <w:rsid w:val="00D649BF"/>
    <w:rsid w:val="00D67231"/>
    <w:rsid w:val="00D67EF6"/>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2519"/>
    <w:rsid w:val="00FA32A9"/>
    <w:rsid w:val="00FA7C51"/>
    <w:rsid w:val="00FB0002"/>
    <w:rsid w:val="00FB046C"/>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styleId="Hipercze">
    <w:name w:val="Hyperlink"/>
    <w:basedOn w:val="Domylnaczcionkaakapitu"/>
    <w:uiPriority w:val="99"/>
    <w:semiHidden/>
    <w:unhideWhenUsed/>
    <w:rsid w:val="007221E2"/>
    <w:rPr>
      <w:color w:val="0563C1" w:themeColor="hyperlink"/>
      <w:u w:val="single"/>
    </w:rPr>
  </w:style>
  <w:style w:type="table" w:styleId="Tabela-Siatka">
    <w:name w:val="Table Grid"/>
    <w:basedOn w:val="Standardowy"/>
    <w:uiPriority w:val="39"/>
    <w:rsid w:val="007221E2"/>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1899</Words>
  <Characters>11397</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2024-03-17T11:33:00Z</dcterms:created>
  <dcterms:modified xsi:type="dcterms:W3CDTF">2024-03-28T18:33:00Z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