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910645">
        <w:rPr>
          <w:rFonts w:ascii="Times New Roman" w:hAnsi="Times New Roman"/>
          <w:sz w:val="20"/>
        </w:rPr>
        <w:t>6</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910645">
        <w:rPr>
          <w:rFonts w:ascii="Times New Roman" w:hAnsi="Times New Roman"/>
          <w:sz w:val="20"/>
        </w:rPr>
        <w:t>8</w:t>
      </w:r>
      <w:r w:rsidR="00E70CA3">
        <w:rPr>
          <w:rFonts w:ascii="Times New Roman" w:hAnsi="Times New Roman"/>
          <w:sz w:val="20"/>
        </w:rPr>
        <w:t xml:space="preserve"> maja</w:t>
      </w:r>
      <w:r w:rsidR="00344E00">
        <w:rPr>
          <w:rFonts w:ascii="Times New Roman" w:hAnsi="Times New Roman"/>
          <w:sz w:val="20"/>
        </w:rPr>
        <w:t xml:space="preserve"> </w:t>
      </w:r>
    </w:p>
    <w:p w:rsidR="0091548D" w:rsidRPr="00A04EAF" w:rsidRDefault="00910645" w:rsidP="00A736F6">
      <w:pPr>
        <w:ind w:firstLine="0"/>
        <w:jc w:val="center"/>
        <w:rPr>
          <w:rFonts w:ascii="Times New Roman" w:hAnsi="Times New Roman"/>
          <w:sz w:val="20"/>
        </w:rPr>
      </w:pPr>
      <w:r>
        <w:rPr>
          <w:rFonts w:ascii="Times New Roman" w:hAnsi="Times New Roman"/>
          <w:b/>
          <w:sz w:val="28"/>
        </w:rPr>
        <w:t>POTOMSTWO ABRAHAMA</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1 P 2,9.</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b/>
          <w:bCs/>
          <w:sz w:val="20"/>
        </w:rPr>
        <w:t>Część I: Przegląd</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Choć Izrael był wybranym Bożym narodem i dziedziczył przymierze po przodkach, nie miał tej samej siły przekonań co patriarchowie. Stąd wielu Izraelitów popełniało błędy swoich przodków, lekceważąc Boże przymierze. Tak więc Bóg raz po raz musiał odsiewać swoją wierną resztę spośród niewiernego ludu.</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b/>
          <w:bCs/>
          <w:sz w:val="20"/>
        </w:rPr>
        <w:t>Część II: Komentarz</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Spośród wszystkich ludów</w:t>
      </w:r>
    </w:p>
    <w:p w:rsidR="00910645" w:rsidRPr="00A04EAF" w:rsidRDefault="00910645" w:rsidP="00910645">
      <w:pPr>
        <w:rPr>
          <w:rFonts w:ascii="Times New Roman" w:hAnsi="Times New Roman"/>
          <w:sz w:val="20"/>
        </w:rPr>
      </w:pPr>
      <w:r w:rsidRPr="00A04EAF">
        <w:rPr>
          <w:rFonts w:ascii="Times New Roman" w:hAnsi="Times New Roman"/>
          <w:sz w:val="20"/>
        </w:rPr>
        <w:t xml:space="preserve">W Pwt 28, podobnie jak w </w:t>
      </w:r>
      <w:r w:rsidRPr="00A04EAF">
        <w:rPr>
          <w:rFonts w:ascii="Times New Roman" w:hAnsi="Times New Roman"/>
          <w:i/>
          <w:sz w:val="20"/>
        </w:rPr>
        <w:t>Księdze Izajasza</w:t>
      </w:r>
      <w:r w:rsidRPr="00A04EAF">
        <w:rPr>
          <w:rFonts w:ascii="Times New Roman" w:hAnsi="Times New Roman"/>
          <w:sz w:val="20"/>
        </w:rPr>
        <w:t xml:space="preserve">, </w:t>
      </w:r>
      <w:r w:rsidRPr="00A04EAF">
        <w:rPr>
          <w:rFonts w:ascii="Times New Roman" w:hAnsi="Times New Roman"/>
          <w:i/>
          <w:sz w:val="20"/>
        </w:rPr>
        <w:t>Księdze Jeremiasza</w:t>
      </w:r>
      <w:r w:rsidRPr="00A04EAF">
        <w:rPr>
          <w:rFonts w:ascii="Times New Roman" w:hAnsi="Times New Roman"/>
          <w:sz w:val="20"/>
        </w:rPr>
        <w:t xml:space="preserve">, </w:t>
      </w:r>
      <w:r w:rsidRPr="00A04EAF">
        <w:rPr>
          <w:rFonts w:ascii="Times New Roman" w:hAnsi="Times New Roman"/>
          <w:i/>
          <w:sz w:val="20"/>
        </w:rPr>
        <w:t>Księdze Sofoniasza</w:t>
      </w:r>
      <w:r w:rsidRPr="00A04EAF">
        <w:rPr>
          <w:rFonts w:ascii="Times New Roman" w:hAnsi="Times New Roman"/>
          <w:sz w:val="20"/>
        </w:rPr>
        <w:t xml:space="preserve"> i kilku mniejszych proroków, obietnice przymierza są dane Izraelitom na podstawie ich wierności wobec Jahwe. Jednak śmierć Jezusa, Księcia Pokoju przepowiedzianego w Dn 9,25-29, prowadziła do rozszerzenia nowego przymierza także na pogan. Teraz każdy może przyjąć obietnice przymierza. Choć wielu Izraelitów nie było wiernych Bogu, Bóg dochował wierności swojemu ludowi.</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Obietnica ziemi</w:t>
      </w:r>
    </w:p>
    <w:p w:rsidR="00910645" w:rsidRPr="00A04EAF" w:rsidRDefault="00910645" w:rsidP="00910645">
      <w:pPr>
        <w:rPr>
          <w:rFonts w:ascii="Times New Roman" w:hAnsi="Times New Roman"/>
          <w:sz w:val="20"/>
        </w:rPr>
      </w:pPr>
      <w:r w:rsidRPr="00A04EAF">
        <w:rPr>
          <w:rFonts w:ascii="Times New Roman" w:hAnsi="Times New Roman"/>
          <w:sz w:val="20"/>
        </w:rPr>
        <w:t>„</w:t>
      </w:r>
      <w:r w:rsidRPr="00A04EAF">
        <w:rPr>
          <w:rFonts w:ascii="Times New Roman" w:hAnsi="Times New Roman"/>
          <w:i/>
          <w:sz w:val="20"/>
        </w:rPr>
        <w:t>Stary Testament</w:t>
      </w:r>
      <w:r w:rsidRPr="00A04EAF">
        <w:rPr>
          <w:rFonts w:ascii="Times New Roman" w:hAnsi="Times New Roman"/>
          <w:sz w:val="20"/>
        </w:rPr>
        <w:t xml:space="preserve"> opisuje obietnicę ziemi dla patriarchy i Izraela konsekwentnie w kategoriach teologicznych, jako łaskawy Boży dar czy błogosławieństwo dla ludu przymierza (Rdz 12,1.7; 13,14-17; 15,18-21; Pwt 1,5-8; Ps 44,1-3). (...) Tak więc Izrael nie może twierdzić, że ma bezpośrednią więź ze swoim krajem, nie może dysponować nim w autonomiczny sposób, nie może ubóstwiać go jako absolutną własność. Izrael nie jest właścicielem ziemi. (...) Choć kraj został dany Izraelowi jako dar łaski, lud przymierza mógł pozostać w kraju Bożym jedynie będąc posłusznym Panu (zob. Pwt 4,40; Iz 1,19). Nie można przyjąć daru z pominięciem jego Dawcy” (</w:t>
      </w:r>
      <w:r w:rsidRPr="00A04EAF">
        <w:rPr>
          <w:rFonts w:ascii="Times New Roman" w:hAnsi="Times New Roman"/>
          <w:sz w:val="20"/>
          <w:lang w:val="en-GB"/>
        </w:rPr>
        <w:t xml:space="preserve">Hans K. LaRondelle, </w:t>
      </w:r>
      <w:r w:rsidRPr="00A04EAF">
        <w:rPr>
          <w:rFonts w:ascii="Times New Roman" w:hAnsi="Times New Roman"/>
          <w:i/>
          <w:iCs/>
          <w:sz w:val="20"/>
          <w:lang w:val="en-GB"/>
        </w:rPr>
        <w:t>The Israel of God in Prophecy: Principles of Prophetic Interpretation</w:t>
      </w:r>
      <w:r w:rsidRPr="00A04EAF">
        <w:rPr>
          <w:rFonts w:ascii="Times New Roman" w:hAnsi="Times New Roman"/>
          <w:sz w:val="20"/>
          <w:lang w:val="en-GB"/>
        </w:rPr>
        <w:t>, Berrien Springs 1983, s. 136</w:t>
      </w:r>
      <w:r w:rsidRPr="00A04EAF">
        <w:rPr>
          <w:rFonts w:ascii="Times New Roman" w:hAnsi="Times New Roman"/>
          <w:sz w:val="20"/>
        </w:rPr>
        <w:t>).</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Izrael i przymierze</w:t>
      </w:r>
    </w:p>
    <w:p w:rsidR="00910645" w:rsidRPr="00A04EAF" w:rsidRDefault="00910645" w:rsidP="00910645">
      <w:pPr>
        <w:rPr>
          <w:rFonts w:ascii="Times New Roman" w:hAnsi="Times New Roman"/>
          <w:sz w:val="20"/>
        </w:rPr>
      </w:pPr>
      <w:r w:rsidRPr="00A04EAF">
        <w:rPr>
          <w:rFonts w:ascii="Times New Roman" w:hAnsi="Times New Roman"/>
          <w:sz w:val="20"/>
        </w:rPr>
        <w:t xml:space="preserve">Istotną wymową przymierza łaski było: „Bądź posłuszny i żyj albo bądź nieposłuszny i umrzyj”. Ten motyw został wpleciony zarówno w </w:t>
      </w:r>
      <w:r w:rsidRPr="00A04EAF">
        <w:rPr>
          <w:rFonts w:ascii="Times New Roman" w:hAnsi="Times New Roman"/>
          <w:i/>
          <w:sz w:val="20"/>
        </w:rPr>
        <w:t>Stary Testament</w:t>
      </w:r>
      <w:r w:rsidRPr="00A04EAF">
        <w:rPr>
          <w:rFonts w:ascii="Times New Roman" w:hAnsi="Times New Roman"/>
          <w:sz w:val="20"/>
        </w:rPr>
        <w:t xml:space="preserve">, jak i </w:t>
      </w:r>
      <w:r w:rsidRPr="00A04EAF">
        <w:rPr>
          <w:rFonts w:ascii="Times New Roman" w:hAnsi="Times New Roman"/>
          <w:i/>
          <w:sz w:val="20"/>
        </w:rPr>
        <w:t>Nowy Testament</w:t>
      </w:r>
      <w:r w:rsidRPr="00A04EAF">
        <w:rPr>
          <w:rFonts w:ascii="Times New Roman" w:hAnsi="Times New Roman"/>
          <w:sz w:val="20"/>
        </w:rPr>
        <w:t>. Od przymierza z Adamem aż po nowe przymierze funkcjonalność zarządzonej i ustanowionej woli Jahwe była powiązana z każdą Bożą obietnicą.</w:t>
      </w:r>
    </w:p>
    <w:p w:rsidR="00910645" w:rsidRPr="00A04EAF" w:rsidRDefault="00910645" w:rsidP="00910645">
      <w:pPr>
        <w:rPr>
          <w:rFonts w:ascii="Times New Roman" w:hAnsi="Times New Roman"/>
          <w:sz w:val="20"/>
        </w:rPr>
      </w:pPr>
      <w:r w:rsidRPr="00A04EAF">
        <w:rPr>
          <w:rFonts w:ascii="Times New Roman" w:hAnsi="Times New Roman"/>
          <w:sz w:val="20"/>
        </w:rPr>
        <w:t xml:space="preserve">Obietnice narodowej wielkości Izraela i poszerzenia jego kraju opierały się na spełnieniu warunków przymierza. Te narodowe obietnice odnoszące się od przyszłości Izraela i jego międzynarodowego znaczenia były uwarunkowane posłuszeństwem. Z jednej strony, bez wyboru ze strony człowieka Boża zdeklarowana wola opiera się na niewzruszonym wypełnieniu Bożej obietnicy </w:t>
      </w:r>
      <w:r w:rsidRPr="00A04EAF">
        <w:rPr>
          <w:rFonts w:ascii="Times New Roman" w:hAnsi="Times New Roman"/>
          <w:iCs/>
          <w:sz w:val="20"/>
          <w:lang w:val="en-GB"/>
        </w:rPr>
        <w:t>(Rdz 3,15)</w:t>
      </w:r>
      <w:r w:rsidRPr="00A04EAF">
        <w:rPr>
          <w:rFonts w:ascii="Times New Roman" w:hAnsi="Times New Roman"/>
          <w:sz w:val="20"/>
        </w:rPr>
        <w:t xml:space="preserve">. Z drugiej strony, Bóg dopuszcza ludzki wybór, który może być przeciwstawny do intencji Bożej obietnicy i pociągać za sobą przykre skutki </w:t>
      </w:r>
      <w:r w:rsidRPr="00A04EAF">
        <w:rPr>
          <w:rFonts w:ascii="Times New Roman" w:hAnsi="Times New Roman"/>
          <w:iCs/>
          <w:sz w:val="20"/>
          <w:lang w:val="en-GB"/>
        </w:rPr>
        <w:t>(Rdz 2,16-17)</w:t>
      </w:r>
      <w:r w:rsidRPr="00A04EAF">
        <w:rPr>
          <w:rFonts w:ascii="Times New Roman" w:hAnsi="Times New Roman"/>
          <w:sz w:val="20"/>
        </w:rPr>
        <w:t>.</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Reszta</w:t>
      </w:r>
    </w:p>
    <w:p w:rsidR="00910645" w:rsidRPr="00A04EAF" w:rsidRDefault="00910645" w:rsidP="00910645">
      <w:pPr>
        <w:rPr>
          <w:rFonts w:ascii="Times New Roman" w:hAnsi="Times New Roman"/>
          <w:sz w:val="20"/>
        </w:rPr>
      </w:pPr>
      <w:r w:rsidRPr="00A04EAF">
        <w:rPr>
          <w:rFonts w:ascii="Times New Roman" w:hAnsi="Times New Roman"/>
          <w:sz w:val="20"/>
        </w:rPr>
        <w:t xml:space="preserve">„Kiedykolwiek starotestamentowi prorocy przedstawiają eschatologiczną resztę Izraela, zawsze jest ona wierną religijną społecznością, która czci Boga w nowości serca na podstawie «nowego przymierza» </w:t>
      </w:r>
      <w:r w:rsidRPr="00A04EAF">
        <w:rPr>
          <w:rFonts w:ascii="Times New Roman" w:hAnsi="Times New Roman"/>
          <w:sz w:val="20"/>
          <w:lang w:val="en-GB"/>
        </w:rPr>
        <w:t>(Jl 2,32; So 3,12-13; Jr 31,31-34; Ez 11,16-21)</w:t>
      </w:r>
      <w:r w:rsidRPr="00A04EAF">
        <w:rPr>
          <w:rFonts w:ascii="Times New Roman" w:hAnsi="Times New Roman"/>
          <w:sz w:val="20"/>
        </w:rPr>
        <w:t>” (</w:t>
      </w:r>
      <w:r w:rsidRPr="00A04EAF">
        <w:rPr>
          <w:rFonts w:ascii="Times New Roman" w:hAnsi="Times New Roman"/>
          <w:sz w:val="20"/>
          <w:lang w:val="en-GB"/>
        </w:rPr>
        <w:t xml:space="preserve">Hans K. LaRondelle, </w:t>
      </w:r>
      <w:r w:rsidRPr="00A04EAF">
        <w:rPr>
          <w:rFonts w:ascii="Times New Roman" w:hAnsi="Times New Roman"/>
          <w:i/>
          <w:iCs/>
          <w:sz w:val="20"/>
          <w:lang w:val="en-GB"/>
        </w:rPr>
        <w:t>The Israel of God in Prophecy: Principles of Prophetic Interpretation</w:t>
      </w:r>
      <w:r w:rsidRPr="00A04EAF">
        <w:rPr>
          <w:rFonts w:ascii="Times New Roman" w:hAnsi="Times New Roman"/>
          <w:sz w:val="20"/>
          <w:lang w:val="en-GB"/>
        </w:rPr>
        <w:t>, s. 90</w:t>
      </w:r>
      <w:r w:rsidRPr="00A04EAF">
        <w:rPr>
          <w:rFonts w:ascii="Times New Roman" w:hAnsi="Times New Roman"/>
          <w:sz w:val="20"/>
        </w:rPr>
        <w:t>).</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sz w:val="20"/>
        </w:rPr>
        <w:t>Izrael przymierza</w:t>
      </w:r>
    </w:p>
    <w:p w:rsidR="00910645" w:rsidRPr="00A04EAF" w:rsidRDefault="00910645" w:rsidP="00910645">
      <w:pPr>
        <w:rPr>
          <w:rFonts w:ascii="Times New Roman" w:hAnsi="Times New Roman"/>
          <w:sz w:val="20"/>
        </w:rPr>
      </w:pPr>
      <w:r w:rsidRPr="00A04EAF">
        <w:rPr>
          <w:rFonts w:ascii="Times New Roman" w:hAnsi="Times New Roman"/>
          <w:sz w:val="20"/>
        </w:rPr>
        <w:t>„Ta wierna reszta w czasie końca stanie się Bożym świadectwem pośród narodów i obejmuje także ludzi nie będących Izraelitami, bez względu na ich etniczne pochodzenie (Za 9,7; 14,16; Iz 66,19; Dn 7,27; 12,1-3). Cały starotestamentowy obraz eschatologicznej reszty świadczy, że błogosławieństwa przymierza z Izraelem zostaną spełnione, ale nie wobec niewierzącego Izraela, a jedynie w Izraelu wiernym wobec Jahwe i ufającym Jego Mesjaszowi. Ta reszta Izraela będzie obejmować wierne reszty ze wszystkich pogańskich naród, które w ten sposób wypełnią Boży zamiar przyświecający powołaniu Izraela” (</w:t>
      </w:r>
      <w:r w:rsidRPr="00A04EAF">
        <w:rPr>
          <w:rFonts w:ascii="Times New Roman" w:hAnsi="Times New Roman"/>
          <w:sz w:val="20"/>
          <w:lang w:val="en-GB"/>
        </w:rPr>
        <w:t xml:space="preserve">Hans K. LaRondelle, </w:t>
      </w:r>
      <w:r w:rsidRPr="00A04EAF">
        <w:rPr>
          <w:rFonts w:ascii="Times New Roman" w:hAnsi="Times New Roman"/>
          <w:i/>
          <w:iCs/>
          <w:sz w:val="20"/>
          <w:lang w:val="en-GB"/>
        </w:rPr>
        <w:t>The Israel of God in Prophecy: Principles of Prophetic Interpretation</w:t>
      </w:r>
      <w:r w:rsidRPr="00A04EAF">
        <w:rPr>
          <w:rFonts w:ascii="Times New Roman" w:hAnsi="Times New Roman"/>
          <w:sz w:val="20"/>
          <w:lang w:val="en-GB"/>
        </w:rPr>
        <w:t>, s. 90-91</w:t>
      </w:r>
      <w:r w:rsidRPr="00A04EAF">
        <w:rPr>
          <w:rFonts w:ascii="Times New Roman" w:hAnsi="Times New Roman"/>
          <w:sz w:val="20"/>
        </w:rPr>
        <w:t>).</w:t>
      </w:r>
    </w:p>
    <w:p w:rsidR="00910645" w:rsidRPr="00A04EAF" w:rsidRDefault="00910645" w:rsidP="00910645">
      <w:pPr>
        <w:rPr>
          <w:rFonts w:ascii="Times New Roman" w:hAnsi="Times New Roman"/>
          <w:sz w:val="20"/>
        </w:rPr>
      </w:pPr>
      <w:r w:rsidRPr="00A04EAF">
        <w:rPr>
          <w:rFonts w:ascii="Times New Roman" w:hAnsi="Times New Roman"/>
          <w:sz w:val="20"/>
        </w:rPr>
        <w:t>Istotne jest to, że Bóg nikogo nie odrzuca zbiorowo. Każdy Żyd i poganin może znaleźć zbawienie w</w:t>
      </w:r>
      <w:r>
        <w:rPr>
          <w:rFonts w:ascii="Times New Roman" w:hAnsi="Times New Roman"/>
          <w:sz w:val="20"/>
        </w:rPr>
        <w:t> </w:t>
      </w:r>
      <w:r w:rsidRPr="00A04EAF">
        <w:rPr>
          <w:rFonts w:ascii="Times New Roman" w:hAnsi="Times New Roman"/>
          <w:sz w:val="20"/>
        </w:rPr>
        <w:t xml:space="preserve"> Jezusie. Twierdzenie, iż Bóg odrzucił każdego Żyda tylko dlatego, że jest Żydem, jest sprzeczna z </w:t>
      </w:r>
      <w:r w:rsidRPr="00A04EAF">
        <w:rPr>
          <w:rFonts w:ascii="Times New Roman" w:hAnsi="Times New Roman"/>
          <w:i/>
          <w:sz w:val="20"/>
        </w:rPr>
        <w:t>Pismem Świętym</w:t>
      </w:r>
      <w:r w:rsidRPr="00A04EAF">
        <w:rPr>
          <w:rFonts w:ascii="Times New Roman" w:hAnsi="Times New Roman"/>
          <w:sz w:val="20"/>
        </w:rPr>
        <w:t>. Paweł napisał: „</w:t>
      </w:r>
      <w:r w:rsidRPr="00A04EAF">
        <w:rPr>
          <w:rFonts w:ascii="Times New Roman" w:eastAsiaTheme="minorHAnsi" w:hAnsi="Times New Roman"/>
          <w:color w:val="000000"/>
          <w:sz w:val="20"/>
          <w:lang w:eastAsia="en-US"/>
        </w:rPr>
        <w:t>Czymże więc góruje Żyd? Albo co za pożytek jest z obrzezania? Wielki pod każdym względem. Przede wszystkim ten, że im zostały powierzone wyrocznie Boże. Bo co z tego, że niektórzy nie uwierzyli? Czyż niewierność ich zniweczy wierność Bożą?</w:t>
      </w:r>
      <w:r w:rsidRPr="00A04EAF">
        <w:rPr>
          <w:rFonts w:ascii="Times New Roman" w:hAnsi="Times New Roman"/>
          <w:sz w:val="20"/>
        </w:rPr>
        <w:t xml:space="preserve">” </w:t>
      </w:r>
      <w:r w:rsidRPr="00A04EAF">
        <w:rPr>
          <w:rFonts w:ascii="Times New Roman" w:hAnsi="Times New Roman"/>
          <w:iCs/>
          <w:sz w:val="20"/>
          <w:lang w:val="en-GB"/>
        </w:rPr>
        <w:t>(Rz 3,1</w:t>
      </w:r>
      <w:r w:rsidRPr="00A04EAF">
        <w:rPr>
          <w:rFonts w:ascii="Times New Roman" w:hAnsi="Times New Roman"/>
          <w:sz w:val="20"/>
          <w:lang w:val="en-GB"/>
        </w:rPr>
        <w:t>-</w:t>
      </w:r>
      <w:r w:rsidRPr="00A04EAF">
        <w:rPr>
          <w:rFonts w:ascii="Times New Roman" w:hAnsi="Times New Roman"/>
          <w:iCs/>
          <w:sz w:val="20"/>
          <w:lang w:val="en-GB"/>
        </w:rPr>
        <w:t>3)</w:t>
      </w:r>
      <w:r w:rsidRPr="00A04EAF">
        <w:rPr>
          <w:rFonts w:ascii="Times New Roman" w:hAnsi="Times New Roman"/>
          <w:sz w:val="20"/>
        </w:rPr>
        <w:t>.</w:t>
      </w:r>
    </w:p>
    <w:p w:rsidR="00910645" w:rsidRPr="00A04EAF" w:rsidRDefault="00910645" w:rsidP="00910645">
      <w:pPr>
        <w:rPr>
          <w:rFonts w:ascii="Times New Roman" w:hAnsi="Times New Roman"/>
          <w:sz w:val="20"/>
        </w:rPr>
      </w:pPr>
      <w:r w:rsidRPr="00A04EAF">
        <w:rPr>
          <w:rFonts w:ascii="Times New Roman" w:hAnsi="Times New Roman"/>
          <w:sz w:val="20"/>
        </w:rPr>
        <w:lastRenderedPageBreak/>
        <w:t xml:space="preserve">Zwróć uwagę, że tylko </w:t>
      </w:r>
      <w:r w:rsidRPr="00A04EAF">
        <w:rPr>
          <w:rFonts w:ascii="Times New Roman" w:hAnsi="Times New Roman"/>
          <w:i/>
          <w:sz w:val="20"/>
        </w:rPr>
        <w:t>niektórzy</w:t>
      </w:r>
      <w:r w:rsidRPr="00A04EAF">
        <w:rPr>
          <w:rFonts w:ascii="Times New Roman" w:hAnsi="Times New Roman"/>
          <w:sz w:val="20"/>
        </w:rPr>
        <w:t xml:space="preserve"> nie uwierzyli, ale wielu uwierzyło. Wszyscy oni, wierzący Żydzi i</w:t>
      </w:r>
      <w:r>
        <w:rPr>
          <w:rFonts w:ascii="Times New Roman" w:hAnsi="Times New Roman"/>
          <w:sz w:val="20"/>
        </w:rPr>
        <w:t> </w:t>
      </w:r>
      <w:r w:rsidRPr="00A04EAF">
        <w:rPr>
          <w:rFonts w:ascii="Times New Roman" w:hAnsi="Times New Roman"/>
          <w:sz w:val="20"/>
        </w:rPr>
        <w:t xml:space="preserve"> poganie, tworzyli Kościół wczesnochrześcijański. Początkowo Kościół składał się w znacznej większości z</w:t>
      </w:r>
      <w:r>
        <w:rPr>
          <w:rFonts w:ascii="Times New Roman" w:hAnsi="Times New Roman"/>
          <w:sz w:val="20"/>
        </w:rPr>
        <w:t> </w:t>
      </w:r>
      <w:r w:rsidRPr="00A04EAF">
        <w:rPr>
          <w:rFonts w:ascii="Times New Roman" w:hAnsi="Times New Roman"/>
          <w:sz w:val="20"/>
        </w:rPr>
        <w:t xml:space="preserve"> Żydów!</w:t>
      </w:r>
    </w:p>
    <w:p w:rsidR="00910645" w:rsidRPr="00A04EAF" w:rsidRDefault="00910645" w:rsidP="00910645">
      <w:pPr>
        <w:rPr>
          <w:rFonts w:ascii="Times New Roman" w:hAnsi="Times New Roman"/>
          <w:sz w:val="20"/>
        </w:rPr>
      </w:pPr>
      <w:r w:rsidRPr="00A04EAF">
        <w:rPr>
          <w:rFonts w:ascii="Times New Roman" w:hAnsi="Times New Roman"/>
          <w:sz w:val="20"/>
        </w:rPr>
        <w:t>Bóg nikogo nie odrzuca zbiorowo, na podstawie przynależności do grupy, bo zbawienie nigdy nie jest oferowane zbiorowo. Żydzi czy poganie - ludzie są zbawieni albo zgubieni wyłącznie jako poszczególne osoby, na podstawie indywidualnego wyboru.</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b/>
          <w:bCs/>
          <w:sz w:val="20"/>
        </w:rPr>
        <w:t xml:space="preserve">Część III: Zastosowanie </w:t>
      </w:r>
    </w:p>
    <w:p w:rsidR="00910645" w:rsidRPr="00A04EAF" w:rsidRDefault="00910645" w:rsidP="00910645">
      <w:pPr>
        <w:rPr>
          <w:rFonts w:ascii="Times New Roman" w:hAnsi="Times New Roman"/>
          <w:sz w:val="20"/>
        </w:rPr>
      </w:pPr>
    </w:p>
    <w:p w:rsidR="00910645" w:rsidRPr="00A04EAF" w:rsidRDefault="00910645" w:rsidP="00910645">
      <w:pPr>
        <w:rPr>
          <w:rFonts w:ascii="Times New Roman" w:hAnsi="Times New Roman"/>
          <w:sz w:val="20"/>
        </w:rPr>
      </w:pPr>
      <w:r w:rsidRPr="00A04EAF">
        <w:rPr>
          <w:rFonts w:ascii="Times New Roman" w:hAnsi="Times New Roman"/>
          <w:b/>
          <w:bCs/>
          <w:sz w:val="20"/>
          <w:lang w:val="en-GB"/>
        </w:rPr>
        <w:t xml:space="preserve">Do przemyślenia: </w:t>
      </w:r>
      <w:r w:rsidRPr="00A04EAF">
        <w:rPr>
          <w:rFonts w:ascii="Times New Roman" w:hAnsi="Times New Roman"/>
          <w:sz w:val="20"/>
        </w:rPr>
        <w:t>Społeczeństwa zawsze faworyzowały określone pochodzenie. Dobre pochodzenie zyskiwało człowiekowi przychylność, wpływ i koneksje. Nawet w czasach biblijnych ludzie byli identyfikowani na podstawie pochodzenia. Dla Żydów podstawą dumy i prestiżu było pochodzenie od Abrahama.</w:t>
      </w:r>
    </w:p>
    <w:p w:rsidR="00910645" w:rsidRPr="00A04EAF" w:rsidRDefault="00910645" w:rsidP="00910645">
      <w:pPr>
        <w:rPr>
          <w:rFonts w:ascii="Times New Roman" w:hAnsi="Times New Roman"/>
          <w:sz w:val="20"/>
        </w:rPr>
      </w:pPr>
      <w:r w:rsidRPr="00A04EAF">
        <w:rPr>
          <w:rFonts w:ascii="Times New Roman" w:hAnsi="Times New Roman"/>
          <w:sz w:val="20"/>
        </w:rPr>
        <w:t>1. Jaką rolę odgrywało przymierze w ustanowieniu więzi między Bogiem i ludzkością w czasie, kiedy pochodzenie było ważnym czynnikiem? Jak nasza więź z Bogiem wpływa na nasze więzi z ludźmi? Czego możemy się nauczyć z więzi przymierza Izraelitów z Bogiem i jak może to wzmacniać naszą więź z Nim?</w:t>
      </w:r>
    </w:p>
    <w:p w:rsidR="00910645" w:rsidRPr="00A04EAF" w:rsidRDefault="00910645" w:rsidP="00910645">
      <w:pPr>
        <w:rPr>
          <w:rFonts w:ascii="Times New Roman" w:hAnsi="Times New Roman"/>
          <w:sz w:val="20"/>
        </w:rPr>
      </w:pPr>
      <w:r w:rsidRPr="00A04EAF">
        <w:rPr>
          <w:rFonts w:ascii="Times New Roman" w:hAnsi="Times New Roman"/>
          <w:sz w:val="20"/>
        </w:rPr>
        <w:t xml:space="preserve">2. Aby obnażyć powszechne uprzedzenia panujące w Jego czasach, Jezus wskazywał pewne oczywiste prawdy, takie jak to, że słońce świeci zarówno dobrym, jak i złym </w:t>
      </w:r>
      <w:r w:rsidRPr="00A04EAF">
        <w:rPr>
          <w:rFonts w:ascii="Times New Roman" w:hAnsi="Times New Roman"/>
          <w:iCs/>
          <w:sz w:val="20"/>
          <w:lang w:val="en-GB"/>
        </w:rPr>
        <w:t>(Mt 5,45)</w:t>
      </w:r>
      <w:r w:rsidRPr="00A04EAF">
        <w:rPr>
          <w:rFonts w:ascii="Times New Roman" w:hAnsi="Times New Roman"/>
          <w:sz w:val="20"/>
        </w:rPr>
        <w:t>. Fakt, iż Jezus musiał przypominać Bożemu wybranemu ludowi o czymś tak oczywistym, mówi nam dużo o ich egocentryzmie. Jakie niebezpieczeństwo egocentryzmu grozi nam jako adwentystom dnia siódmego?</w:t>
      </w:r>
    </w:p>
    <w:p w:rsidR="00910645" w:rsidRPr="00A04EAF" w:rsidRDefault="00910645" w:rsidP="00910645">
      <w:pPr>
        <w:rPr>
          <w:rFonts w:ascii="Times New Roman" w:hAnsi="Times New Roman"/>
          <w:sz w:val="20"/>
        </w:rPr>
      </w:pPr>
      <w:r w:rsidRPr="00A04EAF">
        <w:rPr>
          <w:rFonts w:ascii="Times New Roman" w:hAnsi="Times New Roman"/>
          <w:sz w:val="20"/>
        </w:rPr>
        <w:t>3. Częścią dziedzictwa Izraela była „szekina”, widzialny przejaw chwały Bożej (Wj 40,34-38). Jakie wyraźne dowody istnienia Boga dostrzegasz? Czy potrzebujemy wizualnego przypomnienia Jego istnienia? Wyjaśnij swoją odpowiedź. Co może być ważniejsze niż to? Jakie inne elementy twojego życia mówią o stałej obecności Boga?</w:t>
      </w:r>
    </w:p>
    <w:p w:rsidR="00910645" w:rsidRPr="00A04EAF" w:rsidRDefault="00910645" w:rsidP="00910645">
      <w:pPr>
        <w:rPr>
          <w:rFonts w:ascii="Times New Roman" w:hAnsi="Times New Roman"/>
          <w:sz w:val="20"/>
        </w:rPr>
      </w:pPr>
      <w:r w:rsidRPr="00A04EAF">
        <w:rPr>
          <w:rFonts w:ascii="Times New Roman" w:hAnsi="Times New Roman"/>
          <w:sz w:val="20"/>
        </w:rPr>
        <w:t>4. Przeczytaj 2 Kor 11,16-33. Przeciwnikami Pawła w Koryncie byli żydowscy chrześcijanie, którzy przyłączyli się do zboru w nadziei na zajęcie w nim przywódczych stanowisk. Byli oni przekonani, że jako potomkowie Abrahama są lepszymi chrześcijanami niż poganie. Jednak Paweł nie uznawał takiego wyróżnienia Żydów nad pogan w kwestii zbawienia i statusu przed Bogiem. Dlaczego niektórzy odczuwają wyższość nad innymi, którzy mają takie samo prawo do więzi przymierza z Bogiem? Jak „zewnętrzne” oczekiwania wobec innych mogą hamować misję Kościoła?</w:t>
      </w:r>
    </w:p>
    <w:p w:rsidR="00910645" w:rsidRPr="00A04EAF" w:rsidRDefault="00910645" w:rsidP="00910645">
      <w:pPr>
        <w:rPr>
          <w:rFonts w:ascii="Times New Roman" w:hAnsi="Times New Roman"/>
          <w:sz w:val="20"/>
        </w:rPr>
      </w:pPr>
      <w:r w:rsidRPr="00A04EAF">
        <w:rPr>
          <w:rFonts w:ascii="Times New Roman" w:hAnsi="Times New Roman"/>
          <w:sz w:val="20"/>
        </w:rPr>
        <w:t xml:space="preserve">5. Zarówno </w:t>
      </w:r>
      <w:r w:rsidRPr="00A04EAF">
        <w:rPr>
          <w:rFonts w:ascii="Times New Roman" w:hAnsi="Times New Roman"/>
          <w:i/>
          <w:sz w:val="20"/>
        </w:rPr>
        <w:t>Stary Testament</w:t>
      </w:r>
      <w:r w:rsidRPr="00A04EAF">
        <w:rPr>
          <w:rFonts w:ascii="Times New Roman" w:hAnsi="Times New Roman"/>
          <w:sz w:val="20"/>
        </w:rPr>
        <w:t xml:space="preserve">, jak i </w:t>
      </w:r>
      <w:r w:rsidRPr="00A04EAF">
        <w:rPr>
          <w:rFonts w:ascii="Times New Roman" w:hAnsi="Times New Roman"/>
          <w:i/>
          <w:sz w:val="20"/>
        </w:rPr>
        <w:t>Nowy Testament</w:t>
      </w:r>
      <w:r w:rsidRPr="00A04EAF">
        <w:rPr>
          <w:rFonts w:ascii="Times New Roman" w:hAnsi="Times New Roman"/>
          <w:sz w:val="20"/>
        </w:rPr>
        <w:t xml:space="preserve"> porównują lud Boży do oblubienicy Boga (Iz 62,5; Oz 1-14). Małżeńska niewierność jest symbolem nieposłuszeństwa wobec Boga. Kiedy łamie się śluby małżeńskie, łamią się także serca. Stosując to wyobrażenie w twoim życiu, jak wz</w:t>
      </w:r>
      <w:r>
        <w:rPr>
          <w:rFonts w:ascii="Times New Roman" w:hAnsi="Times New Roman"/>
          <w:sz w:val="20"/>
        </w:rPr>
        <w:t xml:space="preserve">macniasz więź między Kościoła i  </w:t>
      </w:r>
      <w:r w:rsidRPr="00A04EAF">
        <w:rPr>
          <w:rFonts w:ascii="Times New Roman" w:hAnsi="Times New Roman"/>
          <w:sz w:val="20"/>
        </w:rPr>
        <w:t>Chrystusem? Czy oblubienica, Kościół, zwalnia z indywidualnej odpowiedzialności poszczególnych wyznawców? Wyjaśnij swoją odpowiedź.</w:t>
      </w:r>
    </w:p>
    <w:p w:rsidR="00910645" w:rsidRPr="00A04EAF" w:rsidRDefault="00910645" w:rsidP="00910645">
      <w:pPr>
        <w:rPr>
          <w:rFonts w:ascii="Times New Roman" w:hAnsi="Times New Roman"/>
          <w:sz w:val="20"/>
        </w:rPr>
      </w:pPr>
      <w:r w:rsidRPr="00A04EAF">
        <w:rPr>
          <w:rFonts w:ascii="Times New Roman" w:hAnsi="Times New Roman"/>
          <w:sz w:val="20"/>
        </w:rPr>
        <w:t>6. Jak nowe przymierze pomaga nam być „lepszą” oblubienicą niż Izrael? Czy nasz brak szczególnego pochodzenia pomaga, czy szkodzi naszemu duchowemu rozwojowi w roli oblubienicy Chrystusa? Wyjaśnij swoją odpowiedź.</w:t>
      </w:r>
    </w:p>
    <w:sectPr w:rsidR="00910645" w:rsidRPr="00A04E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15" w:rsidRDefault="00AA4615" w:rsidP="00A820C9">
      <w:r>
        <w:separator/>
      </w:r>
    </w:p>
  </w:endnote>
  <w:endnote w:type="continuationSeparator" w:id="0">
    <w:p w:rsidR="00AA4615" w:rsidRDefault="00AA461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CE3" w:rsidRDefault="00074C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74CE3">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CE3" w:rsidRDefault="00074CE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15" w:rsidRDefault="00AA4615" w:rsidP="00A820C9">
      <w:r>
        <w:separator/>
      </w:r>
    </w:p>
  </w:footnote>
  <w:footnote w:type="continuationSeparator" w:id="0">
    <w:p w:rsidR="00AA4615" w:rsidRDefault="00AA4615"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CE3" w:rsidRDefault="00074CE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910645">
      <w:rPr>
        <w:rFonts w:ascii="Times New Roman" w:hAnsi="Times New Roman"/>
        <w:sz w:val="16"/>
      </w:rPr>
      <w:t>6</w:t>
    </w:r>
    <w:r w:rsidRPr="00344E00">
      <w:rPr>
        <w:rFonts w:ascii="Times New Roman" w:hAnsi="Times New Roman"/>
        <w:sz w:val="16"/>
      </w:rPr>
      <w:t xml:space="preserve"> </w:t>
    </w:r>
    <w:r w:rsidR="00E70CA3">
      <w:rPr>
        <w:rFonts w:ascii="Times New Roman" w:hAnsi="Times New Roman"/>
        <w:sz w:val="16"/>
      </w:rPr>
      <w:t>–</w:t>
    </w:r>
    <w:r w:rsidRPr="00344E00">
      <w:rPr>
        <w:rFonts w:ascii="Times New Roman" w:hAnsi="Times New Roman"/>
        <w:sz w:val="16"/>
      </w:rPr>
      <w:t xml:space="preserve"> </w:t>
    </w:r>
    <w:r w:rsidR="00910645">
      <w:rPr>
        <w:rFonts w:ascii="Times New Roman" w:hAnsi="Times New Roman"/>
        <w:sz w:val="16"/>
      </w:rPr>
      <w:t>8</w:t>
    </w:r>
    <w:r w:rsidR="00074CE3">
      <w:rPr>
        <w:rFonts w:ascii="Times New Roman" w:hAnsi="Times New Roman"/>
        <w:sz w:val="16"/>
      </w:rPr>
      <w:t xml:space="preserve"> maja</w:t>
    </w:r>
    <w:bookmarkStart w:id="0" w:name="_GoBack"/>
    <w:bookmarkEnd w:id="0"/>
    <w:r w:rsidRPr="00344E00">
      <w:rPr>
        <w:rFonts w:ascii="Times New Roman" w:hAnsi="Times New Roman"/>
        <w:sz w:val="16"/>
      </w:rPr>
      <w:t xml:space="preserve">, </w:t>
    </w:r>
    <w:r w:rsidR="00910645">
      <w:rPr>
        <w:rFonts w:ascii="Times New Roman" w:hAnsi="Times New Roman"/>
        <w:sz w:val="16"/>
      </w:rPr>
      <w:t>Potomstwo Abrahama</w:t>
    </w:r>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CE3" w:rsidRDefault="00074CE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A8E"/>
    <w:rsid w:val="00071DD3"/>
    <w:rsid w:val="00073013"/>
    <w:rsid w:val="00074CE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423D"/>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36F6"/>
    <w:rsid w:val="00A74F83"/>
    <w:rsid w:val="00A81F1D"/>
    <w:rsid w:val="00A820C9"/>
    <w:rsid w:val="00A85D90"/>
    <w:rsid w:val="00A974E6"/>
    <w:rsid w:val="00A97ECA"/>
    <w:rsid w:val="00AA0514"/>
    <w:rsid w:val="00AA336A"/>
    <w:rsid w:val="00AA4615"/>
    <w:rsid w:val="00AC3205"/>
    <w:rsid w:val="00AD4D5B"/>
    <w:rsid w:val="00AD7194"/>
    <w:rsid w:val="00B12BA8"/>
    <w:rsid w:val="00B27439"/>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85B02"/>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1036</Words>
  <Characters>6012</Characters>
  <Application>Microsoft Office Word</Application>
  <DocSecurity>0</DocSecurity>
  <Lines>91</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2021-01-27T17:24:00Z</cp:lastPrinted>
  <dcterms:created xsi:type="dcterms:W3CDTF">2021-03-23T18:04:00Z</dcterms:created>
  <dcterms:modified xsi:type="dcterms:W3CDTF">2021-03-23T18:46:00Z</dcterms:modified>
</cp:coreProperties>
</file>