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9E" w:rsidRPr="00896DEA" w:rsidRDefault="00B8589E" w:rsidP="009F6D9E">
      <w:pPr>
        <w:ind w:left="567" w:firstLine="0"/>
        <w:rPr>
          <w:rFonts w:ascii="Times New Roman" w:hAnsi="Times New Roman"/>
          <w:sz w:val="22"/>
          <w:szCs w:val="22"/>
        </w:rPr>
      </w:pPr>
    </w:p>
    <w:p w:rsidR="00B8589E" w:rsidRDefault="00B8589E" w:rsidP="00B8589E">
      <w:pPr>
        <w:rPr>
          <w:rFonts w:ascii="Times New Roman" w:hAnsi="Times New Roman"/>
          <w:sz w:val="22"/>
          <w:szCs w:val="22"/>
        </w:rPr>
      </w:pPr>
      <w:r w:rsidRPr="00B8589E">
        <w:rPr>
          <w:rFonts w:ascii="Times New Roman" w:hAnsi="Times New Roman"/>
          <w:sz w:val="20"/>
          <w:szCs w:val="22"/>
        </w:rPr>
        <w:t xml:space="preserve">Lekcja </w:t>
      </w:r>
      <w:r w:rsidR="00096165">
        <w:rPr>
          <w:rFonts w:ascii="Times New Roman" w:hAnsi="Times New Roman"/>
          <w:sz w:val="20"/>
          <w:szCs w:val="22"/>
        </w:rPr>
        <w:t>8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096165">
        <w:rPr>
          <w:rFonts w:ascii="Times New Roman" w:hAnsi="Times New Roman"/>
          <w:sz w:val="20"/>
          <w:szCs w:val="22"/>
        </w:rPr>
        <w:t>25</w:t>
      </w:r>
      <w:r w:rsidR="00835FB1">
        <w:rPr>
          <w:rFonts w:ascii="Times New Roman" w:hAnsi="Times New Roman"/>
          <w:sz w:val="20"/>
          <w:szCs w:val="22"/>
        </w:rPr>
        <w:t xml:space="preserve"> listopada</w:t>
      </w:r>
    </w:p>
    <w:p w:rsidR="00B8589E" w:rsidRPr="00896DEA" w:rsidRDefault="00B8589E" w:rsidP="00B8589E">
      <w:pPr>
        <w:rPr>
          <w:rFonts w:ascii="Times New Roman" w:hAnsi="Times New Roman"/>
          <w:sz w:val="22"/>
          <w:szCs w:val="22"/>
        </w:rPr>
      </w:pPr>
    </w:p>
    <w:p w:rsidR="00B8589E" w:rsidRPr="00835FB1" w:rsidRDefault="00096165" w:rsidP="00B8589E">
      <w:pPr>
        <w:jc w:val="center"/>
        <w:rPr>
          <w:rFonts w:ascii="Times New Roman" w:hAnsi="Times New Roman"/>
          <w:b/>
          <w:sz w:val="40"/>
          <w:szCs w:val="22"/>
        </w:rPr>
      </w:pPr>
      <w:r>
        <w:rPr>
          <w:rFonts w:ascii="Times New Roman" w:hAnsi="Times New Roman"/>
          <w:b/>
          <w:sz w:val="40"/>
          <w:szCs w:val="22"/>
        </w:rPr>
        <w:t>KIM JEST CZŁOWIEK Z RZ 7?</w:t>
      </w:r>
    </w:p>
    <w:p w:rsidR="00FF60C8" w:rsidRDefault="00FF60C8" w:rsidP="00FF60C8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i/>
          <w:iCs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 w:rsidRPr="00896DEA">
        <w:rPr>
          <w:rFonts w:ascii="Times New Roman" w:hAnsi="Times New Roman"/>
          <w:iCs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iCs/>
          <w:sz w:val="22"/>
          <w:szCs w:val="22"/>
        </w:rPr>
        <w:t xml:space="preserve"> 7,4-6.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Cel </w:t>
      </w:r>
      <w:r>
        <w:rPr>
          <w:rFonts w:ascii="Times New Roman" w:hAnsi="Times New Roman"/>
          <w:b/>
          <w:bCs/>
          <w:sz w:val="22"/>
          <w:szCs w:val="22"/>
        </w:rPr>
        <w:t xml:space="preserve"> lekcji 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Poznanie: </w:t>
      </w:r>
      <w:r w:rsidRPr="00896DEA">
        <w:rPr>
          <w:rFonts w:ascii="Times New Roman" w:hAnsi="Times New Roman"/>
          <w:sz w:val="22"/>
          <w:szCs w:val="22"/>
        </w:rPr>
        <w:t>Zrozumienie, że Paweł wzywa do zmiany z tożsamości prawa grzechu i śmierci na</w:t>
      </w:r>
      <w:r>
        <w:rPr>
          <w:rFonts w:ascii="Times New Roman" w:hAnsi="Times New Roman"/>
          <w:sz w:val="22"/>
          <w:szCs w:val="22"/>
        </w:rPr>
        <w:t> </w:t>
      </w:r>
      <w:r w:rsidRPr="00896DEA">
        <w:rPr>
          <w:rFonts w:ascii="Times New Roman" w:hAnsi="Times New Roman"/>
          <w:sz w:val="22"/>
          <w:szCs w:val="22"/>
        </w:rPr>
        <w:t xml:space="preserve"> nową tożsamość człowieka zjednoczonego z Chrystusem.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Odczucie: </w:t>
      </w:r>
      <w:r w:rsidRPr="00896DEA">
        <w:rPr>
          <w:rFonts w:ascii="Times New Roman" w:hAnsi="Times New Roman"/>
          <w:sz w:val="22"/>
          <w:szCs w:val="22"/>
        </w:rPr>
        <w:t>Radowanie się z więzi z Chrystusem i świadomości, że Duch Święty działa w ramach tej więzi.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Działanie: </w:t>
      </w:r>
      <w:r w:rsidRPr="00896DEA">
        <w:rPr>
          <w:rFonts w:ascii="Times New Roman" w:hAnsi="Times New Roman"/>
          <w:sz w:val="22"/>
          <w:szCs w:val="22"/>
        </w:rPr>
        <w:t>Przynoszenie owocu dla Boga w sposób niemożliwy bez więzi z Chrystusem.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096165" w:rsidRDefault="00096165" w:rsidP="00096165">
      <w:pPr>
        <w:rPr>
          <w:rFonts w:ascii="Times New Roman" w:hAnsi="Times New Roman"/>
          <w:sz w:val="24"/>
          <w:szCs w:val="22"/>
        </w:rPr>
      </w:pPr>
      <w:r w:rsidRPr="00096165">
        <w:rPr>
          <w:rFonts w:ascii="Times New Roman" w:hAnsi="Times New Roman"/>
          <w:b/>
          <w:bCs/>
          <w:sz w:val="24"/>
          <w:szCs w:val="22"/>
        </w:rPr>
        <w:t>Plan nauczania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I. Poznanie: Jezus nie będzie się tobą dzielił.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A. Skoro prawo jest święte, sprawiedliwe, dobre i duchowe, dlaczego Paweł kieruje swoich adresatów, by szukali nowej tożsamości w Chrystusie a nie w prawie?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B. Dlaczego nie możemy być „poślubieni” jednocześnie Chrystusowi i prawu? Czego obawia się Paweł, gdybyśmy próbowali takiej podwójnej lojalności?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II. Odczucie: Śmierć i ponowne małżeństwo.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A. Co znaczy „umrzeć” dla czegoś, aby „żyć” dla czegoś (czy Kogoś) innego?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B. Dlaczego małżeństwo jest tak trafną metaforą więzi z Chrystusem?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III. Działanie: Posłuszeństwo w Duchu.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A. Na czym polega służba w nowy sposób w Duchu i służba w stary sposób, według litery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7,6)?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B. W odniesieniu do poprzedniego pytania, czy treść takiego posłuszeństwa jest inna, taka sama, a może po trochu jednego i drugiego?</w:t>
      </w:r>
    </w:p>
    <w:p w:rsidR="00096165" w:rsidRPr="00896DEA" w:rsidRDefault="00096165" w:rsidP="00096165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Podsumowanie: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rozszerza przeciwstawienie z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 i pełniej wyjaśnia, jak zmagania między dwoma doświadczeniami - prawa, grzechu i śmierci kontra Chrystusa, Ducha Świętego, posłuszeństwa i życia - rozgrywają się w życiu człowieka.</w:t>
      </w:r>
    </w:p>
    <w:p w:rsidR="00096165" w:rsidRDefault="00096165">
      <w:pPr>
        <w:spacing w:after="160" w:line="259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096165" w:rsidRPr="00096165" w:rsidRDefault="00096165" w:rsidP="00096165">
      <w:pPr>
        <w:rPr>
          <w:rFonts w:ascii="Times New Roman" w:hAnsi="Times New Roman"/>
          <w:b/>
          <w:sz w:val="24"/>
          <w:szCs w:val="22"/>
        </w:rPr>
      </w:pPr>
      <w:r w:rsidRPr="00096165">
        <w:rPr>
          <w:rFonts w:ascii="Times New Roman" w:hAnsi="Times New Roman"/>
          <w:b/>
          <w:sz w:val="24"/>
          <w:szCs w:val="22"/>
        </w:rPr>
        <w:lastRenderedPageBreak/>
        <w:t>Cykl nauczania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1 - Motywowanie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i/>
          <w:iCs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 w:rsidRPr="00896DEA">
        <w:rPr>
          <w:rFonts w:ascii="Times New Roman" w:hAnsi="Times New Roman"/>
          <w:iCs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iCs/>
          <w:sz w:val="22"/>
          <w:szCs w:val="22"/>
        </w:rPr>
        <w:t xml:space="preserve"> 7,1-14.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Kluczowa koncepcja duchowego rozwoju: </w:t>
      </w:r>
      <w:r w:rsidRPr="00896DEA">
        <w:rPr>
          <w:rFonts w:ascii="Times New Roman" w:hAnsi="Times New Roman"/>
          <w:sz w:val="22"/>
          <w:szCs w:val="22"/>
        </w:rPr>
        <w:t>Choć prawo jest dobre samo w sobie, to jednak nie jest w stanie wytworzyć posłuszeństwa i życia, jakiego Bóg oczekuje od swojego ludu. W pewnym sensie prawo wydaje się zaostrzać problem grzechu. Paweł uważnie stara się zastąpić prawo jako pierwszoplanowe źródło tożsamości, a jednocześnie stara się je potwierdzić i bronić go, ale łączy swoich adresatów z ich nową tożsamością w Chrystusie. W tej nowej tożsamości liczy się Duch, życie i - jak na ironię - prawdziwe posłuszeństwo prawu.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 xml:space="preserve">Jako Kościół powtarzamy za Pawłem wiele argumentów na rzecz prawa Bożego, ale czasami trudno nam wyjaśnić negatywne stwierdzenia Pawła dotyczące prawa. Zwróć uwagę, jak Paweł opisuje fenomen prawa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i pokieruj uczestnikami lekcji tak, by przyjęli wyjaśnienie Pawła.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Otwarcie dyskusji: </w:t>
      </w:r>
      <w:r w:rsidRPr="00896DEA">
        <w:rPr>
          <w:rFonts w:ascii="Times New Roman" w:hAnsi="Times New Roman"/>
          <w:sz w:val="22"/>
          <w:szCs w:val="22"/>
        </w:rPr>
        <w:t>Jeśli jesteś adwentystą dnia siódmego, możesz się spotkać w każdej chwili z ostrą krytyką innych chrześcijan, którzy będą mówić: „Wy wciąż żyjecie w starym przymierzu!”; „Jesteśmy zbawieni przez łaskę, a nie przez prawo!”; „Przykazania zostały przybite do krzyża!”; „Jesteś legalistą!”; „Paweł napisał, że...” itd. itp. Jak na to odpowiedzieć?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Gdy spotykamy się z cytowaniem przeciwko nam negatywnych komentarzy Pawła dotyczących prawa, istnieje pokusa, by w odpowiedzi na to zacząć cytować wypowiedzi Pawła, Jana, Jakuba i samego Jezusa na poparcie prawa. Ale ta taktyka służy jedynie przeciwstawianiu pozornie sprzecznych fragmentów </w:t>
      </w:r>
      <w:r w:rsidRPr="00896DEA">
        <w:rPr>
          <w:rFonts w:ascii="Times New Roman" w:hAnsi="Times New Roman"/>
          <w:i/>
          <w:iCs/>
          <w:sz w:val="22"/>
          <w:szCs w:val="22"/>
        </w:rPr>
        <w:t>Biblii</w:t>
      </w:r>
      <w:r w:rsidRPr="00896DEA">
        <w:rPr>
          <w:rFonts w:ascii="Times New Roman" w:hAnsi="Times New Roman"/>
          <w:sz w:val="22"/>
          <w:szCs w:val="22"/>
        </w:rPr>
        <w:t xml:space="preserve">. Bardziej trwały wpływ na naszych rozmówców może wywrzeć to, gdy sięgniemy właśnie do tych fragmentów, których używają przeciwko nam, a następnie wyjaśnimy im </w:t>
      </w:r>
      <w:r w:rsidRPr="00896DEA">
        <w:rPr>
          <w:rFonts w:ascii="Times New Roman" w:hAnsi="Times New Roman"/>
          <w:i/>
          <w:iCs/>
          <w:sz w:val="22"/>
          <w:szCs w:val="22"/>
        </w:rPr>
        <w:t>kontekst</w:t>
      </w:r>
      <w:r w:rsidRPr="00896DEA">
        <w:rPr>
          <w:rFonts w:ascii="Times New Roman" w:hAnsi="Times New Roman"/>
          <w:sz w:val="22"/>
          <w:szCs w:val="22"/>
        </w:rPr>
        <w:t xml:space="preserve"> tego, co naprawdę oznaczają. Takie podejście jest szczególnie istotne w przypadku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6—7.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Pytania do dyskusji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1. Dlaczego w przypadku sporów dotyczących prawa bardziej skuteczne jest trzymanie się argumentów Pawła niż sięganie do fragmentów z innych ksiąg biblijnych?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2. Choć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jest obecnie uważany za kontrowersyjny, to czy według ciebie był taki dla pierwszych adresatów? Uzasadnij swoją odpowiedź.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2 - Badanie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jest rozszerzeniem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6, tak więc możemy znaleźć w nim paralelne pojęcia, które Paweł powtarza i rozszerza. Sięgnij także do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8, gdyż wiele wątków myślenia Pawła jest tam zebranych, a twoje wnioski  powinny zgadzać się z tymi zawartymi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8.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096165" w:rsidRDefault="00096165" w:rsidP="00096165">
      <w:pPr>
        <w:rPr>
          <w:rFonts w:ascii="Times New Roman" w:hAnsi="Times New Roman"/>
          <w:sz w:val="22"/>
          <w:szCs w:val="22"/>
        </w:rPr>
      </w:pPr>
      <w:r w:rsidRPr="00096165">
        <w:rPr>
          <w:rFonts w:ascii="Times New Roman" w:hAnsi="Times New Roman"/>
          <w:b/>
          <w:bCs/>
          <w:sz w:val="22"/>
          <w:szCs w:val="22"/>
        </w:rPr>
        <w:t>Komentarz biblijny</w:t>
      </w:r>
    </w:p>
    <w:p w:rsidR="00096165" w:rsidRPr="00096165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II. Pogrzeb i powtórne małżeństwo </w:t>
      </w:r>
      <w:r w:rsidRPr="00896DEA">
        <w:rPr>
          <w:rFonts w:ascii="Times New Roman" w:hAnsi="Times New Roman"/>
          <w:sz w:val="22"/>
          <w:szCs w:val="22"/>
        </w:rPr>
        <w:t xml:space="preserve">(przeczytaj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7,1-4).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Paweł łączy dwie metafory - śmierć i małżeństwo - by zilustrować istotną zmianę, jaka następuje w wyniku nastania ery mesjańskiej. Ilustracja ta obejmuje dwóch mężów i żonę, ale interpretacja jest koncepcyjnie podchwytliwa, gdyż ten, który umiera („</w:t>
      </w:r>
      <w:r w:rsidRPr="00896DEA">
        <w:rPr>
          <w:rFonts w:ascii="Times New Roman" w:hAnsi="Times New Roman"/>
          <w:color w:val="000000"/>
          <w:sz w:val="22"/>
          <w:szCs w:val="22"/>
        </w:rPr>
        <w:t>i wy umarliście</w:t>
      </w:r>
      <w:r w:rsidRPr="00896DEA">
        <w:rPr>
          <w:rFonts w:ascii="Times New Roman" w:hAnsi="Times New Roman"/>
          <w:sz w:val="22"/>
          <w:szCs w:val="22"/>
        </w:rPr>
        <w:t>”) jest tym samym, który zawiera ponowne małżeństwo („</w:t>
      </w:r>
      <w:r w:rsidRPr="00896DEA">
        <w:rPr>
          <w:rFonts w:ascii="Times New Roman" w:hAnsi="Times New Roman"/>
          <w:color w:val="000000"/>
          <w:sz w:val="22"/>
          <w:szCs w:val="22"/>
        </w:rPr>
        <w:t>by należeć do innego</w:t>
      </w:r>
      <w:r w:rsidRPr="00896DEA">
        <w:rPr>
          <w:rFonts w:ascii="Times New Roman" w:hAnsi="Times New Roman"/>
          <w:sz w:val="22"/>
          <w:szCs w:val="22"/>
        </w:rPr>
        <w:t>”). To znaczenie zawiera sugestię, że „wy” to żona poślubiona jednemu mężowi. Drugi mąż to ten, który został „</w:t>
      </w:r>
      <w:proofErr w:type="spellStart"/>
      <w:r w:rsidRPr="00896DEA">
        <w:rPr>
          <w:rFonts w:ascii="Times New Roman" w:hAnsi="Times New Roman"/>
          <w:sz w:val="22"/>
          <w:szCs w:val="22"/>
        </w:rPr>
        <w:t>zmartwychwzbudzony</w:t>
      </w:r>
      <w:proofErr w:type="spellEnd"/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6,9), to znaczy Jezus. Tak więc łącząc to wszystko Paweł mówi, że </w:t>
      </w:r>
      <w:r w:rsidRPr="00896DEA">
        <w:rPr>
          <w:rFonts w:ascii="Times New Roman" w:hAnsi="Times New Roman"/>
          <w:i/>
          <w:iCs/>
          <w:sz w:val="22"/>
          <w:szCs w:val="22"/>
        </w:rPr>
        <w:t>wy</w:t>
      </w:r>
      <w:r w:rsidRPr="00896DEA">
        <w:rPr>
          <w:rFonts w:ascii="Times New Roman" w:hAnsi="Times New Roman"/>
          <w:sz w:val="22"/>
          <w:szCs w:val="22"/>
        </w:rPr>
        <w:t xml:space="preserve"> umarliście, abyście </w:t>
      </w:r>
      <w:r w:rsidRPr="00896DEA">
        <w:rPr>
          <w:rFonts w:ascii="Times New Roman" w:hAnsi="Times New Roman"/>
          <w:i/>
          <w:iCs/>
          <w:sz w:val="22"/>
          <w:szCs w:val="22"/>
        </w:rPr>
        <w:t>wy</w:t>
      </w:r>
      <w:r w:rsidRPr="00896DEA">
        <w:rPr>
          <w:rFonts w:ascii="Times New Roman" w:hAnsi="Times New Roman"/>
          <w:sz w:val="22"/>
          <w:szCs w:val="22"/>
        </w:rPr>
        <w:t xml:space="preserve"> mogli ponownie zawrzeć związek. W tym kontekście umierający „wy” to ci sami, którzy „umarli dla grzechu”, których „stary człowiek został ukrzyżowany”, aby „grzeszne ciało” mogło zostać unicestwione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6,2.6). Ale jak umieramy z Chrystusem w Jego ukrzyżowaniu, tak </w:t>
      </w:r>
      <w:r w:rsidRPr="00896DEA">
        <w:rPr>
          <w:rFonts w:ascii="Times New Roman" w:hAnsi="Times New Roman"/>
          <w:i/>
          <w:iCs/>
          <w:sz w:val="22"/>
          <w:szCs w:val="22"/>
        </w:rPr>
        <w:t>żyjemy</w:t>
      </w:r>
      <w:r w:rsidRPr="00896DEA">
        <w:rPr>
          <w:rFonts w:ascii="Times New Roman" w:hAnsi="Times New Roman"/>
          <w:sz w:val="22"/>
          <w:szCs w:val="22"/>
        </w:rPr>
        <w:t xml:space="preserve"> przez Jego zmartwychwstanie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6,4). Tak </w:t>
      </w:r>
      <w:r w:rsidRPr="00896DEA">
        <w:rPr>
          <w:rFonts w:ascii="Times New Roman" w:hAnsi="Times New Roman"/>
          <w:sz w:val="22"/>
          <w:szCs w:val="22"/>
        </w:rPr>
        <w:lastRenderedPageBreak/>
        <w:t>więc występuje tu wyraźne wskazanie, że ta sama osoba może umrzeć, ale jednocześnie żyć. Tak więc bycie jednocześnie umarłą żoną i żyjącą żoną nie jest niczym dziwnym.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Niektórzy doszli do błędnego wniosku, że prawo jest umarłym mężem. Ale prawo jest tym, dla czego umarł człowiek. Samo prawo nie umarło, ale umarł nasz związek z nim. Prawo w tej ilustracji jest wiążącym wpływem, który trzymał kobietę przy jej pierwszym mężu. Śmierć była sposobem, przez który ta więź została zerwana w celu zawarcia ponownego małżeństwa z Chrystusem. Jest to subtelna, ale ważna różnica.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Zatem co oznaczają te subtelnie niuanse i do czego zmierza Paweł? Po pierwsze, zwróć uwagę, do kogo kieruje swoje słowa: „</w:t>
      </w:r>
      <w:r w:rsidRPr="00896DEA">
        <w:rPr>
          <w:rFonts w:ascii="Times New Roman" w:hAnsi="Times New Roman"/>
          <w:color w:val="000000"/>
          <w:sz w:val="22"/>
          <w:szCs w:val="22"/>
        </w:rPr>
        <w:t>mówię przecież do tych, co Prawo znają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7,1 BT). Są to albo Żydzi, albo judaistyczni prozelici. Ich tożsamość, tak </w:t>
      </w:r>
      <w:proofErr w:type="spellStart"/>
      <w:r w:rsidRPr="00896DEA">
        <w:rPr>
          <w:rFonts w:ascii="Times New Roman" w:hAnsi="Times New Roman"/>
          <w:sz w:val="22"/>
          <w:szCs w:val="22"/>
        </w:rPr>
        <w:t>entniczna</w:t>
      </w:r>
      <w:proofErr w:type="spellEnd"/>
      <w:r w:rsidRPr="00896DEA">
        <w:rPr>
          <w:rFonts w:ascii="Times New Roman" w:hAnsi="Times New Roman"/>
          <w:sz w:val="22"/>
          <w:szCs w:val="22"/>
        </w:rPr>
        <w:t>, jak religijna, jest całkowicie związana z prawem w sposób trudny do zrozumienia dla pogan (większości z nas) w XXI wieku. Jednak w Człowieku z Nazaretu Bóg ukazał największe objawienie swej zbawczej sprawiedliwości, a choć zostało ono poświadczone w prawie, to jednak jest ono „niezależne od Prawa”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3,21).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Tak więc Paweł w pewnym sensie zmaga się z sytuacją, w której „dobre jest wrogiem lepszego”. Dokonanie przejścia od zachowywania prawa jako źródła narodowej tożsamości (ze świątynią, symbolami, znakami przymierza [takimi jak obrzezanie], itd.) do nowej tożsamości osnutej wokół umarłego i zmartwychwstałego Mesjasza okazało się niezwykle trudne. Ale Paweł dobrze wiedział, że lud Boży znajduje się obecnie w erze mesjańskiej, nowotestamentowej, a historia Izraela dobiegła do swego ostatniego rozdziału. Pragnął więc zachęcić Izraelitów, by nadążali za dynamicznym Bożym ruchem.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896DEA">
        <w:rPr>
          <w:rFonts w:ascii="Times New Roman" w:hAnsi="Times New Roman"/>
          <w:sz w:val="22"/>
          <w:szCs w:val="22"/>
        </w:rPr>
        <w:t>Jak pamięć o dziejach Izraela pomaga nam zrozumieć niektóre argumenty Pawła? Pamiętając nauczanie Chrystusa o prawie, jakiego rodzaju życia powinien oczekiwać chrześcijanin w więzi z Chrystusem?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II. Grzech wykorzystuje prawo</w:t>
      </w:r>
      <w:r w:rsidRPr="00896DEA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7,5-14).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Innym, niezbyt często podkreślanym powodem, dla którego, według Pawła, konieczne jest „umrzeć dla Prawa”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7,4 BT) jest ten rozwijający się temat grzechu wykorzystującego prawo do swoich celów. Zwróć uwagę na następujące następstwo kolejnych stwierdzeń: „</w:t>
      </w:r>
      <w:r w:rsidRPr="00896DEA">
        <w:rPr>
          <w:rFonts w:ascii="Times New Roman" w:hAnsi="Times New Roman"/>
          <w:color w:val="000000"/>
          <w:sz w:val="22"/>
          <w:szCs w:val="22"/>
        </w:rPr>
        <w:t>Prawo pojawiło się po to, aby przestępstwo jeszcze bardziej obfitowało</w:t>
      </w:r>
      <w:r w:rsidRPr="00896DEA">
        <w:rPr>
          <w:rFonts w:ascii="Times New Roman" w:hAnsi="Times New Roman"/>
          <w:sz w:val="22"/>
          <w:szCs w:val="22"/>
        </w:rPr>
        <w:t>”; „</w:t>
      </w:r>
      <w:r w:rsidRPr="00896DEA">
        <w:rPr>
          <w:rFonts w:ascii="Times New Roman" w:hAnsi="Times New Roman"/>
          <w:color w:val="000000"/>
          <w:sz w:val="22"/>
          <w:szCs w:val="22"/>
        </w:rPr>
        <w:t>grzeszne namiętności [pobudzane] przez Prawo działały w naszych członkach, by owoc przynosić śmierci</w:t>
      </w:r>
      <w:r w:rsidRPr="00896DEA">
        <w:rPr>
          <w:rFonts w:ascii="Times New Roman" w:hAnsi="Times New Roman"/>
          <w:sz w:val="22"/>
          <w:szCs w:val="22"/>
        </w:rPr>
        <w:t>”; „</w:t>
      </w:r>
      <w:r w:rsidRPr="00896DEA">
        <w:rPr>
          <w:rFonts w:ascii="Times New Roman" w:hAnsi="Times New Roman"/>
          <w:color w:val="000000"/>
          <w:sz w:val="22"/>
          <w:szCs w:val="22"/>
        </w:rPr>
        <w:t>grzech przez przykazanie otrzymał bodziec i wzbudził we mnie wszelką pożądliwość</w:t>
      </w:r>
      <w:r w:rsidRPr="00896DEA">
        <w:rPr>
          <w:rFonts w:ascii="Times New Roman" w:hAnsi="Times New Roman"/>
          <w:sz w:val="22"/>
          <w:szCs w:val="22"/>
        </w:rPr>
        <w:t>”; „</w:t>
      </w:r>
      <w:r w:rsidRPr="00896DEA">
        <w:rPr>
          <w:rFonts w:ascii="Times New Roman" w:hAnsi="Times New Roman"/>
          <w:color w:val="000000"/>
          <w:sz w:val="22"/>
          <w:szCs w:val="22"/>
        </w:rPr>
        <w:t>przykazanie, które miało mi być ku żywotowi, było ku śmierci</w:t>
      </w:r>
      <w:r w:rsidRPr="00896DEA">
        <w:rPr>
          <w:rFonts w:ascii="Times New Roman" w:hAnsi="Times New Roman"/>
          <w:sz w:val="22"/>
          <w:szCs w:val="22"/>
        </w:rPr>
        <w:t>”; „</w:t>
      </w:r>
      <w:r w:rsidRPr="00896DEA">
        <w:rPr>
          <w:rFonts w:ascii="Times New Roman" w:hAnsi="Times New Roman"/>
          <w:color w:val="000000"/>
          <w:sz w:val="22"/>
          <w:szCs w:val="22"/>
        </w:rPr>
        <w:t>grzech otrzymawszy podnietę przez przykazanie, zwiódł mnie i przez nie mnie zabił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5,20 BKR; 7,5 BT; 7,8.10.11). Ale jak coś tak dobrego i świętego jak prawo Boże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7,12) może tak wyraźnie być wykorzystane przez grzech i śmierć?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Odpowiedź leży w założeniu, jakie Paweł objaśnia co najmniej w trzech wersetach: (1) „</w:t>
      </w:r>
      <w:r w:rsidRPr="00896DEA">
        <w:rPr>
          <w:rFonts w:ascii="Times New Roman" w:hAnsi="Times New Roman"/>
          <w:color w:val="000000"/>
          <w:sz w:val="22"/>
          <w:szCs w:val="22"/>
        </w:rPr>
        <w:t>Jak długo bowiem wiedliśmy życie cielesne, grzeszne namiętności [pobudzane] przez Prawo działały w naszych członkach, by owoc przynosić śmierci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7,5 BT); (2) „</w:t>
      </w:r>
      <w:r w:rsidRPr="00896DEA">
        <w:rPr>
          <w:rFonts w:ascii="Times New Roman" w:hAnsi="Times New Roman"/>
          <w:color w:val="000000"/>
          <w:sz w:val="22"/>
          <w:szCs w:val="22"/>
        </w:rPr>
        <w:t>Wiemy przecież, że Prawo jest duchowe. A ja jestem cielesny, zaprzedany w niewolę grzechu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7,14 BT); „</w:t>
      </w:r>
      <w:r w:rsidRPr="00896DEA">
        <w:rPr>
          <w:rFonts w:ascii="Times New Roman" w:hAnsi="Times New Roman"/>
          <w:color w:val="000000"/>
          <w:sz w:val="22"/>
          <w:szCs w:val="22"/>
        </w:rPr>
        <w:t>Co bowiem było niemożliwe dla Prawa, ponieważ ciało czyniło je bezsilnym, [tego dokonał Bóg]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8,3 BT). Kiedy ciało, które jest zdecydowanie przeciwne prawu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8,7-8), zostaje skonfrontowane z prawem, grzech i śmierć są tego skutkiem, co może wyglądać tak, jakby to prawo spowodowało jedno i drugie. Ale taki wniosek byłby nieuprawniony, a Paweł z naciskiem zaprzecza, by prawo miało być winne. Twierdzi, iż jest niemożliwe, by prawo było grzechem czy będąc dobre powodowało śmierć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7,7.13). Wina leży całkowicie po stronie grzechu, a choć prawo odgrywa istotną rolę w dynamicznej relacji między grzechem i śmiercią, to jednak nie ponosi za nie winy.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Paweł spodziewał się, że te niespodziewane powiązania między grzechem i prawem wzbudzą zdziwienie. Tak więc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jest najmocniejszą obroną prawa we wszystkich pismach Pawła.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Pytanie do rozważenia i dyskusji: </w:t>
      </w:r>
      <w:r w:rsidRPr="00896DEA">
        <w:rPr>
          <w:rFonts w:ascii="Times New Roman" w:hAnsi="Times New Roman"/>
          <w:sz w:val="22"/>
          <w:szCs w:val="22"/>
        </w:rPr>
        <w:t xml:space="preserve">Wyjaśnij własnymi słowami dynamiczną relację między prawem, grzechem, śmiercią i ciałem wyłożoną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7. Dlaczego Paweł tak żywiołowo wystąpił w obronie prawa w świetle swoich wcześniejszych argumentów?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Default="00096165">
      <w:pPr>
        <w:spacing w:after="160" w:line="259" w:lineRule="auto"/>
        <w:ind w:firstLine="0"/>
        <w:jc w:val="lef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896DEA">
        <w:rPr>
          <w:rFonts w:ascii="Times New Roman" w:hAnsi="Times New Roman"/>
          <w:b/>
          <w:bCs/>
          <w:sz w:val="22"/>
          <w:szCs w:val="22"/>
        </w:rPr>
        <w:lastRenderedPageBreak/>
        <w:t>Etap 3 - Zastosowanie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>Jeśli w twoim zborze istnieje silne stronnictwo legalistyczne, konieczne jest przeniesienie tożsamości z reguł na więź z Chrystusem. Z drugiej strony w czasach cechujących się niechęcią wobec prawa Bożego obrona prawa przez Pawła jest niezwykle stosowna. Prowadząc tę lekcję weź pod uwagę poglądy uczestników.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Pytania do zastosowania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1. Jakie powiązania dostrzegasz między dwoma mężami na początku rozdziału i wewnętrznym zmaganiem opisanym pod koniec rozdziału?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2. Co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ma do powiedzenia komuś, kto czuje się opanowany przez grzech?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4 - Tworzenie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>Pisma Pawła nie zawsze są łatwe do zrozumienia. Jednak Paweł w wielu przypadkach powtarza daną tezę kilkakrotnie na różne sposoby. Jeśli nie rozumiemy jej wyrażonej w jeden sposób, to jest nadzieja, że zrozumiemy ją wyrażoną inaczej w innych pismach Pawła. Wskaż przykład takiego powtórzenia i innego wyrażenia tej samej prawdy w pismach Pawła oraz zachęć uczestników lekcji, by nie ustawali w studiowaniu tych pism.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Zadania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1. Pomyśl o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7 jako komentarzu do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 czy odwrotnie i zwróć uwagę, jak wiele wersetów możesz znaleźć, które objaśniają się nawzajem.</w:t>
      </w:r>
    </w:p>
    <w:p w:rsidR="00096165" w:rsidRPr="00896DEA" w:rsidRDefault="00096165" w:rsidP="00096165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2. 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1—8 bez dłuższych przerw wraz z kilkoma osobami i podzielcie się spostrzeżeniami wynikającymi z szerszego obrazu tych rozdziałów, a nie tylko studium wybranych wersetów.</w:t>
      </w:r>
    </w:p>
    <w:p w:rsidR="00B8589E" w:rsidRPr="00896DEA" w:rsidRDefault="00B8589E" w:rsidP="00096165">
      <w:pPr>
        <w:rPr>
          <w:rFonts w:ascii="Times New Roman" w:hAnsi="Times New Roman"/>
          <w:sz w:val="22"/>
          <w:szCs w:val="22"/>
        </w:rPr>
      </w:pPr>
    </w:p>
    <w:sectPr w:rsidR="00B8589E" w:rsidRPr="00896DE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5F" w:rsidRDefault="0097715F" w:rsidP="00B8589E">
      <w:r>
        <w:separator/>
      </w:r>
    </w:p>
  </w:endnote>
  <w:endnote w:type="continuationSeparator" w:id="0">
    <w:p w:rsidR="0097715F" w:rsidRDefault="0097715F" w:rsidP="00B8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6"/>
        <w:szCs w:val="16"/>
      </w:rPr>
      <w:id w:val="1853526418"/>
      <w:docPartObj>
        <w:docPartGallery w:val="Page Numbers (Bottom of Page)"/>
        <w:docPartUnique/>
      </w:docPartObj>
    </w:sdtPr>
    <w:sdtEndPr/>
    <w:sdtContent>
      <w:p w:rsidR="00B8589E" w:rsidRPr="00B8589E" w:rsidRDefault="00B8589E">
        <w:pPr>
          <w:pStyle w:val="Stopka"/>
          <w:jc w:val="right"/>
          <w:rPr>
            <w:rFonts w:ascii="Times New Roman" w:hAnsi="Times New Roman"/>
            <w:sz w:val="16"/>
            <w:szCs w:val="16"/>
          </w:rPr>
        </w:pPr>
        <w:r w:rsidRPr="00B8589E">
          <w:rPr>
            <w:rFonts w:ascii="Times New Roman" w:hAnsi="Times New Roman"/>
            <w:sz w:val="16"/>
            <w:szCs w:val="16"/>
          </w:rPr>
          <w:fldChar w:fldCharType="begin"/>
        </w:r>
        <w:r w:rsidRPr="00B8589E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B8589E">
          <w:rPr>
            <w:rFonts w:ascii="Times New Roman" w:hAnsi="Times New Roman"/>
            <w:sz w:val="16"/>
            <w:szCs w:val="16"/>
          </w:rPr>
          <w:fldChar w:fldCharType="separate"/>
        </w:r>
        <w:r w:rsidR="00096165">
          <w:rPr>
            <w:rFonts w:ascii="Times New Roman" w:hAnsi="Times New Roman"/>
            <w:noProof/>
            <w:sz w:val="16"/>
            <w:szCs w:val="16"/>
          </w:rPr>
          <w:t>4</w:t>
        </w:r>
        <w:r w:rsidRPr="00B8589E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B8589E" w:rsidRDefault="00B858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5F" w:rsidRDefault="0097715F" w:rsidP="00B8589E">
      <w:r>
        <w:separator/>
      </w:r>
    </w:p>
  </w:footnote>
  <w:footnote w:type="continuationSeparator" w:id="0">
    <w:p w:rsidR="0097715F" w:rsidRDefault="0097715F" w:rsidP="00B85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89E" w:rsidRDefault="00B8589E" w:rsidP="00B8589E">
    <w:pPr>
      <w:rPr>
        <w:rFonts w:ascii="Times New Roman" w:eastAsia="MS PMincho" w:hAnsi="Times New Roman"/>
        <w:sz w:val="20"/>
        <w:szCs w:val="22"/>
      </w:rPr>
    </w:pPr>
    <w:r w:rsidRPr="00B8589E">
      <w:rPr>
        <w:rFonts w:ascii="Times New Roman" w:eastAsia="MS PMincho" w:hAnsi="Times New Roman"/>
        <w:sz w:val="20"/>
        <w:szCs w:val="22"/>
      </w:rPr>
      <w:t>Lekcje Biblijne 4/2017,</w:t>
    </w:r>
    <w:r>
      <w:rPr>
        <w:rFonts w:ascii="Times New Roman" w:eastAsia="MS PMincho" w:hAnsi="Times New Roman"/>
        <w:sz w:val="20"/>
        <w:szCs w:val="22"/>
      </w:rPr>
      <w:t xml:space="preserve"> „</w:t>
    </w:r>
    <w:r w:rsidRPr="00B8589E">
      <w:rPr>
        <w:rFonts w:ascii="Times New Roman" w:eastAsia="MS PMincho" w:hAnsi="Times New Roman"/>
        <w:sz w:val="20"/>
        <w:szCs w:val="22"/>
      </w:rPr>
      <w:t>List do Rzymian- Zbawienie wyłącznie przez wiarę</w:t>
    </w:r>
    <w:r>
      <w:rPr>
        <w:rFonts w:ascii="Times New Roman" w:eastAsia="MS PMincho" w:hAnsi="Times New Roman"/>
        <w:sz w:val="20"/>
        <w:szCs w:val="22"/>
      </w:rPr>
      <w:t>”</w:t>
    </w:r>
  </w:p>
  <w:p w:rsidR="00B8589E" w:rsidRPr="00B8589E" w:rsidRDefault="00B8589E" w:rsidP="00B8589E">
    <w:pPr>
      <w:rPr>
        <w:rFonts w:ascii="Times New Roman" w:hAnsi="Times New Roman"/>
        <w:sz w:val="20"/>
        <w:szCs w:val="22"/>
      </w:rPr>
    </w:pPr>
    <w:r w:rsidRPr="00B8589E">
      <w:rPr>
        <w:rFonts w:ascii="Times New Roman" w:hAnsi="Times New Roman"/>
        <w:sz w:val="20"/>
        <w:szCs w:val="22"/>
      </w:rPr>
      <w:t>Przewodnik dla nauczycieli</w:t>
    </w:r>
    <w:r>
      <w:rPr>
        <w:rFonts w:ascii="Times New Roman" w:hAnsi="Times New Roman"/>
        <w:sz w:val="20"/>
        <w:szCs w:val="22"/>
      </w:rPr>
      <w:t xml:space="preserve">, Lekcja </w:t>
    </w:r>
    <w:r w:rsidR="00096165">
      <w:rPr>
        <w:rFonts w:ascii="Times New Roman" w:hAnsi="Times New Roman"/>
        <w:sz w:val="20"/>
        <w:szCs w:val="22"/>
      </w:rPr>
      <w:t>8</w:t>
    </w:r>
    <w:r>
      <w:rPr>
        <w:rFonts w:ascii="Times New Roman" w:hAnsi="Times New Roman"/>
        <w:sz w:val="20"/>
        <w:szCs w:val="22"/>
      </w:rPr>
      <w:t>, „</w:t>
    </w:r>
    <w:r w:rsidR="00096165">
      <w:rPr>
        <w:rFonts w:ascii="Times New Roman" w:hAnsi="Times New Roman"/>
        <w:sz w:val="20"/>
        <w:szCs w:val="22"/>
      </w:rPr>
      <w:t xml:space="preserve">Kim jest człowiek z </w:t>
    </w:r>
    <w:proofErr w:type="spellStart"/>
    <w:r w:rsidR="00096165">
      <w:rPr>
        <w:rFonts w:ascii="Times New Roman" w:hAnsi="Times New Roman"/>
        <w:sz w:val="20"/>
        <w:szCs w:val="22"/>
      </w:rPr>
      <w:t>Rz</w:t>
    </w:r>
    <w:proofErr w:type="spellEnd"/>
    <w:r w:rsidR="00096165">
      <w:rPr>
        <w:rFonts w:ascii="Times New Roman" w:hAnsi="Times New Roman"/>
        <w:sz w:val="20"/>
        <w:szCs w:val="22"/>
      </w:rPr>
      <w:t xml:space="preserve"> 7</w:t>
    </w:r>
    <w:r>
      <w:rPr>
        <w:rFonts w:ascii="Times New Roman" w:hAnsi="Times New Roman"/>
        <w:sz w:val="20"/>
        <w:szCs w:val="22"/>
      </w:rPr>
      <w:t>”</w:t>
    </w:r>
  </w:p>
  <w:p w:rsidR="00B8589E" w:rsidRDefault="00B858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AC"/>
    <w:rsid w:val="0002326A"/>
    <w:rsid w:val="000740AC"/>
    <w:rsid w:val="00096165"/>
    <w:rsid w:val="000E6CE7"/>
    <w:rsid w:val="00123950"/>
    <w:rsid w:val="00161262"/>
    <w:rsid w:val="00175FB3"/>
    <w:rsid w:val="003924C1"/>
    <w:rsid w:val="004638E2"/>
    <w:rsid w:val="00640D7C"/>
    <w:rsid w:val="00821C1A"/>
    <w:rsid w:val="008354A7"/>
    <w:rsid w:val="00835FB1"/>
    <w:rsid w:val="0087713C"/>
    <w:rsid w:val="008845AB"/>
    <w:rsid w:val="00907AA2"/>
    <w:rsid w:val="00930BB2"/>
    <w:rsid w:val="009453AE"/>
    <w:rsid w:val="0097715F"/>
    <w:rsid w:val="009F6D9E"/>
    <w:rsid w:val="00A24236"/>
    <w:rsid w:val="00B8589E"/>
    <w:rsid w:val="00BC5983"/>
    <w:rsid w:val="00BF0426"/>
    <w:rsid w:val="00D137FF"/>
    <w:rsid w:val="00D605B3"/>
    <w:rsid w:val="00D9317F"/>
    <w:rsid w:val="00DE0B37"/>
    <w:rsid w:val="00E47FCD"/>
    <w:rsid w:val="00F707F4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70837-9DAC-4E0E-86A3-735DE172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589E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8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589E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58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589E"/>
    <w:rPr>
      <w:rFonts w:ascii="Tahoma" w:eastAsia="Times New Roman" w:hAnsi="Tahoma" w:cs="Times New Roman"/>
      <w:sz w:val="3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1494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Krok</dc:creator>
  <cp:keywords/>
  <dc:description/>
  <cp:lastModifiedBy>Remigiusz Krok</cp:lastModifiedBy>
  <cp:revision>3</cp:revision>
  <cp:lastPrinted>2017-09-18T10:23:00Z</cp:lastPrinted>
  <dcterms:created xsi:type="dcterms:W3CDTF">2017-09-18T10:25:00Z</dcterms:created>
  <dcterms:modified xsi:type="dcterms:W3CDTF">2017-09-18T10:30:00Z</dcterms:modified>
</cp:coreProperties>
</file>