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D55" w:rsidRPr="00474D35" w:rsidRDefault="00E42D55" w:rsidP="00E57B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474D35">
        <w:rPr>
          <w:rFonts w:ascii="Times New Roman" w:hAnsi="Times New Roman"/>
          <w:b/>
          <w:bCs/>
          <w:color w:val="000000"/>
          <w:sz w:val="22"/>
          <w:szCs w:val="22"/>
        </w:rPr>
        <w:t xml:space="preserve">Lekcja </w:t>
      </w:r>
      <w:r w:rsidR="00E67F3A" w:rsidRPr="00474D35">
        <w:rPr>
          <w:rFonts w:ascii="Times New Roman" w:hAnsi="Times New Roman"/>
          <w:b/>
          <w:bCs/>
          <w:color w:val="000000"/>
          <w:sz w:val="22"/>
          <w:szCs w:val="22"/>
        </w:rPr>
        <w:t>1</w:t>
      </w:r>
      <w:r w:rsidR="00474D35" w:rsidRPr="00474D35">
        <w:rPr>
          <w:rFonts w:ascii="Times New Roman" w:hAnsi="Times New Roman"/>
          <w:b/>
          <w:bCs/>
          <w:color w:val="000000"/>
          <w:sz w:val="22"/>
          <w:szCs w:val="22"/>
        </w:rPr>
        <w:t>2</w:t>
      </w:r>
      <w:r w:rsidR="00B03101" w:rsidRPr="00474D35">
        <w:rPr>
          <w:rFonts w:ascii="Times New Roman" w:hAnsi="Times New Roman"/>
          <w:b/>
          <w:bCs/>
          <w:color w:val="000000"/>
          <w:sz w:val="22"/>
          <w:szCs w:val="22"/>
        </w:rPr>
        <w:tab/>
      </w:r>
      <w:r w:rsidR="00B03101" w:rsidRPr="00474D35">
        <w:rPr>
          <w:rFonts w:ascii="Times New Roman" w:hAnsi="Times New Roman"/>
          <w:b/>
          <w:bCs/>
          <w:color w:val="000000"/>
          <w:sz w:val="22"/>
          <w:szCs w:val="22"/>
        </w:rPr>
        <w:tab/>
      </w:r>
      <w:r w:rsidR="00B03101" w:rsidRPr="00474D35">
        <w:rPr>
          <w:rFonts w:ascii="Times New Roman" w:hAnsi="Times New Roman"/>
          <w:b/>
          <w:bCs/>
          <w:color w:val="000000"/>
          <w:sz w:val="22"/>
          <w:szCs w:val="22"/>
        </w:rPr>
        <w:tab/>
      </w:r>
      <w:r w:rsidR="00B03101" w:rsidRPr="00474D35">
        <w:rPr>
          <w:rFonts w:ascii="Times New Roman" w:hAnsi="Times New Roman"/>
          <w:b/>
          <w:bCs/>
          <w:color w:val="000000"/>
          <w:sz w:val="22"/>
          <w:szCs w:val="22"/>
        </w:rPr>
        <w:tab/>
      </w:r>
      <w:r w:rsidR="00B03101" w:rsidRPr="00474D35">
        <w:rPr>
          <w:rFonts w:ascii="Times New Roman" w:hAnsi="Times New Roman"/>
          <w:b/>
          <w:bCs/>
          <w:color w:val="000000"/>
          <w:sz w:val="22"/>
          <w:szCs w:val="22"/>
        </w:rPr>
        <w:tab/>
      </w:r>
      <w:r w:rsidR="00B03101" w:rsidRPr="00474D35">
        <w:rPr>
          <w:rFonts w:ascii="Times New Roman" w:hAnsi="Times New Roman"/>
          <w:b/>
          <w:bCs/>
          <w:color w:val="000000"/>
          <w:sz w:val="22"/>
          <w:szCs w:val="22"/>
        </w:rPr>
        <w:tab/>
      </w:r>
      <w:r w:rsidR="00B03101" w:rsidRPr="00474D35">
        <w:rPr>
          <w:rFonts w:ascii="Times New Roman" w:hAnsi="Times New Roman"/>
          <w:b/>
          <w:bCs/>
          <w:color w:val="000000"/>
          <w:sz w:val="22"/>
          <w:szCs w:val="22"/>
        </w:rPr>
        <w:tab/>
      </w:r>
      <w:r w:rsidR="00B03101" w:rsidRPr="00474D35">
        <w:rPr>
          <w:rFonts w:ascii="Times New Roman" w:hAnsi="Times New Roman"/>
          <w:b/>
          <w:bCs/>
          <w:color w:val="000000"/>
          <w:sz w:val="22"/>
          <w:szCs w:val="22"/>
        </w:rPr>
        <w:tab/>
      </w:r>
      <w:r w:rsidR="00B03101" w:rsidRPr="00474D35">
        <w:rPr>
          <w:rFonts w:ascii="Times New Roman" w:hAnsi="Times New Roman"/>
          <w:b/>
          <w:bCs/>
          <w:color w:val="000000"/>
          <w:sz w:val="22"/>
          <w:szCs w:val="22"/>
        </w:rPr>
        <w:tab/>
      </w:r>
      <w:r w:rsidR="00216578" w:rsidRPr="00474D35">
        <w:rPr>
          <w:rFonts w:ascii="Times New Roman" w:hAnsi="Times New Roman"/>
          <w:b/>
          <w:bCs/>
          <w:color w:val="000000"/>
          <w:sz w:val="22"/>
          <w:szCs w:val="22"/>
        </w:rPr>
        <w:t>1</w:t>
      </w:r>
      <w:r w:rsidR="00474D35" w:rsidRPr="00474D35">
        <w:rPr>
          <w:rFonts w:ascii="Times New Roman" w:hAnsi="Times New Roman"/>
          <w:b/>
          <w:bCs/>
          <w:color w:val="000000"/>
          <w:sz w:val="22"/>
          <w:szCs w:val="22"/>
        </w:rPr>
        <w:t>7</w:t>
      </w:r>
      <w:r w:rsidR="00B03101" w:rsidRPr="00474D35">
        <w:rPr>
          <w:rFonts w:ascii="Times New Roman" w:hAnsi="Times New Roman"/>
          <w:b/>
          <w:bCs/>
          <w:color w:val="000000"/>
          <w:sz w:val="22"/>
          <w:szCs w:val="22"/>
        </w:rPr>
        <w:t xml:space="preserve"> </w:t>
      </w:r>
      <w:r w:rsidR="00E67F3A" w:rsidRPr="00474D35">
        <w:rPr>
          <w:rFonts w:ascii="Times New Roman" w:hAnsi="Times New Roman"/>
          <w:b/>
          <w:bCs/>
          <w:color w:val="000000"/>
          <w:sz w:val="22"/>
          <w:szCs w:val="22"/>
        </w:rPr>
        <w:t>grudnia</w:t>
      </w:r>
    </w:p>
    <w:p w:rsidR="00E42D55" w:rsidRPr="00474D35" w:rsidRDefault="00E42D55" w:rsidP="00962E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b/>
          <w:bCs/>
          <w:color w:val="000000"/>
          <w:sz w:val="22"/>
          <w:szCs w:val="22"/>
        </w:rPr>
      </w:pPr>
    </w:p>
    <w:p w:rsidR="00474D35" w:rsidRPr="00474D35" w:rsidRDefault="00474D35" w:rsidP="00474D35">
      <w:pPr>
        <w:jc w:val="center"/>
        <w:rPr>
          <w:rFonts w:ascii="Times New Roman" w:hAnsi="Times New Roman"/>
          <w:b/>
          <w:sz w:val="44"/>
          <w:szCs w:val="44"/>
        </w:rPr>
      </w:pPr>
      <w:r w:rsidRPr="00474D35">
        <w:rPr>
          <w:rFonts w:ascii="Times New Roman" w:hAnsi="Times New Roman"/>
          <w:b/>
          <w:sz w:val="44"/>
          <w:szCs w:val="44"/>
        </w:rPr>
        <w:t>Odkupiciel Hioba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
          <w:iCs/>
          <w:color w:val="000000"/>
          <w:sz w:val="22"/>
          <w:szCs w:val="22"/>
        </w:rPr>
      </w:pPr>
      <w:r>
        <w:rPr>
          <w:rFonts w:ascii="Times New Roman" w:hAnsi="Times New Roman"/>
          <w:b/>
          <w:bCs/>
          <w:color w:val="000000"/>
          <w:sz w:val="22"/>
          <w:szCs w:val="22"/>
        </w:rPr>
        <w:t>Tekst biblijny</w:t>
      </w:r>
      <w:r w:rsidRPr="00474D35">
        <w:rPr>
          <w:rFonts w:ascii="Times New Roman" w:hAnsi="Times New Roman"/>
          <w:b/>
          <w:bCs/>
          <w:color w:val="000000"/>
          <w:sz w:val="22"/>
          <w:szCs w:val="22"/>
        </w:rPr>
        <w:t xml:space="preserve">: </w:t>
      </w:r>
      <w:r>
        <w:rPr>
          <w:rFonts w:ascii="Times New Roman" w:hAnsi="Times New Roman"/>
          <w:iCs/>
          <w:color w:val="000000"/>
          <w:sz w:val="22"/>
          <w:szCs w:val="22"/>
        </w:rPr>
        <w:t>Hi 19,25-27</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4"/>
          <w:szCs w:val="22"/>
        </w:rPr>
      </w:pPr>
      <w:r w:rsidRPr="00474D35">
        <w:rPr>
          <w:rFonts w:ascii="Times New Roman" w:hAnsi="Times New Roman"/>
          <w:b/>
          <w:bCs/>
          <w:color w:val="000000"/>
          <w:sz w:val="24"/>
          <w:szCs w:val="22"/>
        </w:rPr>
        <w:t xml:space="preserve">Cel </w:t>
      </w:r>
      <w:r w:rsidRPr="00474D35">
        <w:rPr>
          <w:rFonts w:ascii="Times New Roman" w:hAnsi="Times New Roman"/>
          <w:b/>
          <w:bCs/>
          <w:color w:val="000000"/>
          <w:sz w:val="24"/>
          <w:szCs w:val="22"/>
        </w:rPr>
        <w:t xml:space="preserve">lekcji </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474D35">
        <w:rPr>
          <w:rFonts w:ascii="Times New Roman" w:hAnsi="Times New Roman"/>
          <w:b/>
          <w:bCs/>
          <w:color w:val="000000"/>
          <w:sz w:val="22"/>
          <w:szCs w:val="22"/>
        </w:rPr>
        <w:t xml:space="preserve">Poznanie: </w:t>
      </w:r>
      <w:r w:rsidRPr="00474D35">
        <w:rPr>
          <w:rFonts w:ascii="Times New Roman" w:hAnsi="Times New Roman"/>
          <w:color w:val="000000"/>
          <w:sz w:val="22"/>
          <w:szCs w:val="22"/>
        </w:rPr>
        <w:t>Studiowanie tego, jak zastępcza ofiara Chrystusa na krzyżu ostatecznie odpowiada na wszystkie pytania dotyczące ludzkiego cierpienia.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474D35">
        <w:rPr>
          <w:rFonts w:ascii="Times New Roman" w:hAnsi="Times New Roman"/>
          <w:b/>
          <w:bCs/>
          <w:color w:val="000000"/>
          <w:sz w:val="22"/>
          <w:szCs w:val="22"/>
        </w:rPr>
        <w:t xml:space="preserve">Odczucie: </w:t>
      </w:r>
      <w:r w:rsidRPr="00474D35">
        <w:rPr>
          <w:rFonts w:ascii="Times New Roman" w:hAnsi="Times New Roman"/>
          <w:color w:val="000000"/>
          <w:sz w:val="22"/>
          <w:szCs w:val="22"/>
        </w:rPr>
        <w:t>Docenienie cierpienia, przez jakie przeszedł Bóg Ojciec, gdy Jego Syn cierpiał na krzyżu.</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Działanie: </w:t>
      </w:r>
      <w:r w:rsidRPr="00474D35">
        <w:rPr>
          <w:rFonts w:ascii="Times New Roman" w:hAnsi="Times New Roman"/>
          <w:color w:val="000000"/>
          <w:sz w:val="22"/>
          <w:szCs w:val="22"/>
        </w:rPr>
        <w:t>Prowadzenie życia godnego odkupionych, wzorowanego na życiu Chrystusa.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474D35">
        <w:rPr>
          <w:rFonts w:ascii="Times New Roman" w:hAnsi="Times New Roman"/>
          <w:b/>
          <w:bCs/>
          <w:color w:val="000000"/>
          <w:sz w:val="24"/>
          <w:szCs w:val="22"/>
        </w:rPr>
        <w:t>Plan nauczania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I. Poznanie: Zastępcza śmierć Chrystusa.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A. Jak śmierć Chrystusa na Golgocie ma się do cierpienia Hioba?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B. Dlaczego tylko zastępcza śmierć Jezusa Chrystusa umożliwia nam zbawienie?</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II. Odczucie: Ojciec i Syn na krzyżu.</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474D35">
        <w:rPr>
          <w:rFonts w:ascii="Times New Roman" w:hAnsi="Times New Roman"/>
          <w:color w:val="000000"/>
          <w:sz w:val="22"/>
          <w:szCs w:val="22"/>
        </w:rPr>
        <w:t>A. Czy ukrzyżowanie Chrystusa było jedynie dobrze wyreżyserowanym wszechświatowym przedstawieniem o przewidywalnym zakończeniu, czy też rzeczywistym cierpieniem? Omów swoją odpowiedź.</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B. Czy to możliwe, by Bóg cierpiał? Dlaczego tak albo dlaczego nie?</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III. Działanie: Prowadzenie życia odkupionych.</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474D35">
        <w:rPr>
          <w:rFonts w:ascii="Times New Roman" w:hAnsi="Times New Roman"/>
          <w:color w:val="000000"/>
          <w:sz w:val="22"/>
          <w:szCs w:val="22"/>
        </w:rPr>
        <w:t>A. Jak zostajemy przekształceni w naszym cierpieniu, wiedząc, jak Hiob, że nasz Odkupiciel żyje?</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474D35">
        <w:rPr>
          <w:rFonts w:ascii="Times New Roman" w:hAnsi="Times New Roman"/>
          <w:color w:val="000000"/>
          <w:sz w:val="22"/>
          <w:szCs w:val="22"/>
        </w:rPr>
        <w:t>B. Jak możemy prowadzić życie godne odkupionych nawet pośród cierpienia?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474D35">
        <w:rPr>
          <w:rFonts w:ascii="Times New Roman" w:hAnsi="Times New Roman"/>
          <w:b/>
          <w:bCs/>
          <w:color w:val="000000"/>
          <w:sz w:val="22"/>
          <w:szCs w:val="22"/>
        </w:rPr>
        <w:t xml:space="preserve">Podsumowanie: </w:t>
      </w:r>
      <w:r w:rsidRPr="00474D35">
        <w:rPr>
          <w:rFonts w:ascii="Times New Roman" w:hAnsi="Times New Roman"/>
          <w:color w:val="000000"/>
          <w:sz w:val="22"/>
          <w:szCs w:val="22"/>
        </w:rPr>
        <w:t>Długo przed tym, jak Jezus przyszedł, by żyć między nami i umrzeć za nas, Hiob wiedział, że jego Odkupiciel żyje. Teraz patrzymy na krzyż spoglądając niemal dwa tysiące lat wstecz. Z tego uprzywilejowanego punktu widzimy wyraźnie i rozumiemy zastępczą śmierć naszego Odkupiciela, którego cierpienie obejmuje sumę wszystkich cierpień i smutków, jakich doświadczyła ludzkość. Ta zbawcza wiedza prowadzi nas, przez nasze cierpienie, do życia godnego odkupionych.</w:t>
      </w:r>
    </w:p>
    <w:p w:rsidR="00474D35" w:rsidRDefault="00474D35">
      <w:pPr>
        <w:spacing w:after="160" w:line="259" w:lineRule="auto"/>
        <w:ind w:firstLine="0"/>
        <w:jc w:val="left"/>
        <w:rPr>
          <w:rFonts w:ascii="Times New Roman" w:hAnsi="Times New Roman"/>
          <w:color w:val="000000"/>
          <w:sz w:val="22"/>
          <w:szCs w:val="22"/>
        </w:rPr>
      </w:pPr>
      <w:r>
        <w:rPr>
          <w:rFonts w:ascii="Times New Roman" w:hAnsi="Times New Roman"/>
          <w:color w:val="000000"/>
          <w:sz w:val="22"/>
          <w:szCs w:val="22"/>
        </w:rPr>
        <w:br w:type="page"/>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8"/>
          <w:szCs w:val="22"/>
        </w:rPr>
      </w:pPr>
      <w:r w:rsidRPr="00474D35">
        <w:rPr>
          <w:rFonts w:ascii="Times New Roman" w:hAnsi="Times New Roman"/>
          <w:b/>
          <w:bCs/>
          <w:color w:val="000000"/>
          <w:sz w:val="28"/>
          <w:szCs w:val="22"/>
        </w:rPr>
        <w:t>Cykl nauczania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474D35">
        <w:rPr>
          <w:rFonts w:ascii="Times New Roman" w:hAnsi="Times New Roman"/>
          <w:b/>
          <w:bCs/>
          <w:color w:val="000000"/>
          <w:sz w:val="24"/>
          <w:szCs w:val="22"/>
        </w:rPr>
        <w:t>Etap 1 - Motywowanie</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Tekst biblijny: </w:t>
      </w:r>
      <w:r w:rsidRPr="00474D35">
        <w:rPr>
          <w:rFonts w:ascii="Times New Roman" w:hAnsi="Times New Roman"/>
          <w:iCs/>
          <w:color w:val="000000"/>
          <w:sz w:val="22"/>
          <w:szCs w:val="22"/>
        </w:rPr>
        <w:t>Hi 19,25; 1 Kor 15,20.</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Kluczowa koncepcja duchowego rozwoju: </w:t>
      </w:r>
      <w:r w:rsidRPr="00474D35">
        <w:rPr>
          <w:rFonts w:ascii="Times New Roman" w:hAnsi="Times New Roman"/>
          <w:color w:val="000000"/>
          <w:sz w:val="22"/>
          <w:szCs w:val="22"/>
        </w:rPr>
        <w:t>Wiedza Hioba o jego Odkupicielu wymagała patrzenia ponad dwa tysiące lat w przyszłość i skupienia nadziei na fakcie, iż jego Odkupiciel żyje. Dwa tysiące lat po śmierci Jezusa na krzyżu nadal opieramy naszą nadzieję na zmartwychwstałym Zbawicielu, ale mając lepszy wgląd i pełniejsze zrozumienie zastępczej śmierci Jezusa. To właśnie ta wiedza o boskim cierpieniu jest odpowiedzią na pytania dotyczące ludzkiego cierpienia.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Tylko dla nauczyciela: </w:t>
      </w:r>
      <w:r w:rsidRPr="00474D35">
        <w:rPr>
          <w:rFonts w:ascii="Times New Roman" w:hAnsi="Times New Roman"/>
          <w:color w:val="000000"/>
          <w:sz w:val="22"/>
          <w:szCs w:val="22"/>
        </w:rPr>
        <w:t>Fragment Hi 19,25-27 kończy się wołaniem rozdzierającym serce: „Już tęskni za Nim serce w moich piersiach” (BKR). Dla Hioba rozmowa o cierpieniu nie była abstrakcyjną teologiczną debatą w kręgu przyjaciół w sobotnie przedpołudnie podczas lekcji szkoły sobotniej. We wszystkich naszych dyskusjach nie powinniśmy zapominać, że jest to egzystencjalny krzyk udręczonej duszy, która widzi swą jedyną nadzieję w Odkupicielu. Możemy życzyć sobie, by podobne wołanie rozlegało się w naszych klasach szkoły sobotniej.</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Otwarcie dyskusji: </w:t>
      </w:r>
      <w:r w:rsidRPr="00474D35">
        <w:rPr>
          <w:rFonts w:ascii="Times New Roman" w:hAnsi="Times New Roman"/>
          <w:color w:val="000000"/>
          <w:sz w:val="22"/>
          <w:szCs w:val="22"/>
        </w:rPr>
        <w:t xml:space="preserve">George </w:t>
      </w:r>
      <w:proofErr w:type="spellStart"/>
      <w:r w:rsidRPr="00474D35">
        <w:rPr>
          <w:rFonts w:ascii="Times New Roman" w:hAnsi="Times New Roman"/>
          <w:color w:val="000000"/>
          <w:sz w:val="22"/>
          <w:szCs w:val="22"/>
        </w:rPr>
        <w:t>Frederic</w:t>
      </w:r>
      <w:proofErr w:type="spellEnd"/>
      <w:r w:rsidRPr="00474D35">
        <w:rPr>
          <w:rFonts w:ascii="Times New Roman" w:hAnsi="Times New Roman"/>
          <w:color w:val="000000"/>
          <w:sz w:val="22"/>
          <w:szCs w:val="22"/>
        </w:rPr>
        <w:t xml:space="preserve"> Haendel (1685–1759) zasłynął jako kompozytor oratorium </w:t>
      </w:r>
      <w:r w:rsidRPr="00474D35">
        <w:rPr>
          <w:rFonts w:ascii="Times New Roman" w:hAnsi="Times New Roman"/>
          <w:i/>
          <w:iCs/>
          <w:color w:val="000000"/>
          <w:sz w:val="22"/>
          <w:szCs w:val="22"/>
        </w:rPr>
        <w:t>Mesjasz</w:t>
      </w:r>
      <w:r w:rsidRPr="00474D35">
        <w:rPr>
          <w:rFonts w:ascii="Times New Roman" w:hAnsi="Times New Roman"/>
          <w:color w:val="000000"/>
          <w:sz w:val="22"/>
          <w:szCs w:val="22"/>
        </w:rPr>
        <w:t xml:space="preserve">, które jest przypuszczalnie jednym z najbardziej cenionych utworów muzyki sakralnej w świecie zachodnim. Oratorium to zostało po raz pierwsze wykonane w Dublinie w 1742 roku, a rok później odbyło się pierwsze londyńskie wykonanie. Co zdumiewające, Haendel skomponował je w zaledwie 24 dni! Tuż przed swoją śmiercią w 1759 roku kompozytor wyraził życzenie, by pochowano go w opactwie westminsterskim w Londynie. Jego grób do dziś można odwiedzić w południowej nawie poprzecznej zwanej Zakątkiem Poetów. Nad jego grobem na ścianie kościoła umieszczono posąg autorstwa </w:t>
      </w:r>
      <w:proofErr w:type="spellStart"/>
      <w:r w:rsidRPr="00474D35">
        <w:rPr>
          <w:rFonts w:ascii="Times New Roman" w:hAnsi="Times New Roman"/>
          <w:color w:val="000000"/>
          <w:sz w:val="22"/>
          <w:szCs w:val="22"/>
        </w:rPr>
        <w:t>Roubiliaca</w:t>
      </w:r>
      <w:proofErr w:type="spellEnd"/>
      <w:r w:rsidRPr="00474D35">
        <w:rPr>
          <w:rFonts w:ascii="Times New Roman" w:hAnsi="Times New Roman"/>
          <w:color w:val="000000"/>
          <w:sz w:val="22"/>
          <w:szCs w:val="22"/>
        </w:rPr>
        <w:t xml:space="preserve"> ukazujący Haendla w skali rzeczywistej otoczonego przez instrumenty i grającego na harfie anioła oraz otwarte nuty oratorium </w:t>
      </w:r>
      <w:r w:rsidRPr="00474D35">
        <w:rPr>
          <w:rFonts w:ascii="Times New Roman" w:hAnsi="Times New Roman"/>
          <w:i/>
          <w:iCs/>
          <w:color w:val="000000"/>
          <w:sz w:val="22"/>
          <w:szCs w:val="22"/>
        </w:rPr>
        <w:t>Mesjasz</w:t>
      </w:r>
      <w:r w:rsidRPr="00474D35">
        <w:rPr>
          <w:rFonts w:ascii="Times New Roman" w:hAnsi="Times New Roman"/>
          <w:color w:val="000000"/>
          <w:sz w:val="22"/>
          <w:szCs w:val="22"/>
        </w:rPr>
        <w:t xml:space="preserve">. Nuty na które spogląda posągowy kompozytor to fragment arii sopranowej „I </w:t>
      </w:r>
      <w:proofErr w:type="spellStart"/>
      <w:r w:rsidRPr="00474D35">
        <w:rPr>
          <w:rFonts w:ascii="Times New Roman" w:hAnsi="Times New Roman"/>
          <w:color w:val="000000"/>
          <w:sz w:val="22"/>
          <w:szCs w:val="22"/>
        </w:rPr>
        <w:t>Know</w:t>
      </w:r>
      <w:proofErr w:type="spellEnd"/>
      <w:r w:rsidRPr="00474D35">
        <w:rPr>
          <w:rFonts w:ascii="Times New Roman" w:hAnsi="Times New Roman"/>
          <w:color w:val="000000"/>
          <w:sz w:val="22"/>
          <w:szCs w:val="22"/>
        </w:rPr>
        <w:t xml:space="preserve"> </w:t>
      </w:r>
      <w:proofErr w:type="spellStart"/>
      <w:r w:rsidRPr="00474D35">
        <w:rPr>
          <w:rFonts w:ascii="Times New Roman" w:hAnsi="Times New Roman"/>
          <w:color w:val="000000"/>
          <w:sz w:val="22"/>
          <w:szCs w:val="22"/>
        </w:rPr>
        <w:t>that</w:t>
      </w:r>
      <w:proofErr w:type="spellEnd"/>
      <w:r w:rsidRPr="00474D35">
        <w:rPr>
          <w:rFonts w:ascii="Times New Roman" w:hAnsi="Times New Roman"/>
          <w:color w:val="000000"/>
          <w:sz w:val="22"/>
          <w:szCs w:val="22"/>
        </w:rPr>
        <w:t xml:space="preserve"> My </w:t>
      </w:r>
      <w:proofErr w:type="spellStart"/>
      <w:r w:rsidRPr="00474D35">
        <w:rPr>
          <w:rFonts w:ascii="Times New Roman" w:hAnsi="Times New Roman"/>
          <w:color w:val="000000"/>
          <w:sz w:val="22"/>
          <w:szCs w:val="22"/>
        </w:rPr>
        <w:t>Redeemer</w:t>
      </w:r>
      <w:proofErr w:type="spellEnd"/>
      <w:r w:rsidRPr="00474D35">
        <w:rPr>
          <w:rFonts w:ascii="Times New Roman" w:hAnsi="Times New Roman"/>
          <w:color w:val="000000"/>
          <w:sz w:val="22"/>
          <w:szCs w:val="22"/>
        </w:rPr>
        <w:t xml:space="preserve"> </w:t>
      </w:r>
      <w:proofErr w:type="spellStart"/>
      <w:r w:rsidRPr="00474D35">
        <w:rPr>
          <w:rFonts w:ascii="Times New Roman" w:hAnsi="Times New Roman"/>
          <w:color w:val="000000"/>
          <w:sz w:val="22"/>
          <w:szCs w:val="22"/>
        </w:rPr>
        <w:t>Liveth</w:t>
      </w:r>
      <w:proofErr w:type="spellEnd"/>
      <w:r w:rsidRPr="00474D35">
        <w:rPr>
          <w:rFonts w:ascii="Times New Roman" w:hAnsi="Times New Roman"/>
          <w:color w:val="000000"/>
          <w:sz w:val="22"/>
          <w:szCs w:val="22"/>
        </w:rPr>
        <w:t xml:space="preserve">” (Wiem, że Odkupiciel mój żyje). Palec wskazujący kompozytora wskazuje właśnie te słowa będące podstawą nadziei zmartwychwstania Hioba. Tekst tego inspirującego dzieła muzycznego został zaczerpnięty z Hi 19,25-26 i 1 Kor 15,21-22. Rzeźbiarz doskonale uchwycił sedno oratorium </w:t>
      </w:r>
      <w:r w:rsidRPr="00474D35">
        <w:rPr>
          <w:rFonts w:ascii="Times New Roman" w:hAnsi="Times New Roman"/>
          <w:i/>
          <w:iCs/>
          <w:color w:val="000000"/>
          <w:sz w:val="22"/>
          <w:szCs w:val="22"/>
        </w:rPr>
        <w:t>Mesjasz</w:t>
      </w:r>
      <w:r w:rsidRPr="00474D35">
        <w:rPr>
          <w:rFonts w:ascii="Times New Roman" w:hAnsi="Times New Roman"/>
          <w:color w:val="000000"/>
          <w:sz w:val="22"/>
          <w:szCs w:val="22"/>
        </w:rPr>
        <w:t>, kulminującego się w Hiobowej nadziei pokładanej w jego Odkupicielu. Choć poniższe pytanie może być nieco makabryczne, to jednak jest ważne: Jaki werset biblijny chciałbyś mieć wyryty na twoim pomniku po śmierci?</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474D35">
        <w:rPr>
          <w:rFonts w:ascii="Times New Roman" w:hAnsi="Times New Roman"/>
          <w:b/>
          <w:bCs/>
          <w:color w:val="000000"/>
          <w:sz w:val="24"/>
          <w:szCs w:val="22"/>
        </w:rPr>
        <w:t>Etap 2 - Badanie</w:t>
      </w:r>
    </w:p>
    <w:p w:rsidR="00474D35" w:rsidRPr="00474D35" w:rsidRDefault="00474D35" w:rsidP="00474D35">
      <w:pPr>
        <w:tabs>
          <w:tab w:val="left" w:pos="7500"/>
        </w:tabs>
        <w:autoSpaceDE w:val="0"/>
        <w:autoSpaceDN w:val="0"/>
        <w:adjustRightInd w:val="0"/>
        <w:rPr>
          <w:rFonts w:ascii="Times New Roman" w:hAnsi="Times New Roman"/>
          <w:b/>
          <w:bCs/>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iCs/>
          <w:color w:val="000000"/>
          <w:sz w:val="22"/>
          <w:szCs w:val="22"/>
        </w:rPr>
      </w:pPr>
      <w:r w:rsidRPr="00474D35">
        <w:rPr>
          <w:rFonts w:ascii="Times New Roman" w:hAnsi="Times New Roman"/>
          <w:b/>
          <w:bCs/>
          <w:color w:val="000000"/>
          <w:sz w:val="22"/>
          <w:szCs w:val="22"/>
        </w:rPr>
        <w:t xml:space="preserve">Tylko dla nauczyciela: </w:t>
      </w:r>
      <w:r w:rsidRPr="00474D35">
        <w:rPr>
          <w:rFonts w:ascii="Times New Roman" w:hAnsi="Times New Roman"/>
          <w:bCs/>
          <w:color w:val="000000"/>
          <w:sz w:val="22"/>
          <w:szCs w:val="22"/>
        </w:rPr>
        <w:t xml:space="preserve">W </w:t>
      </w:r>
      <w:r w:rsidRPr="00474D35">
        <w:rPr>
          <w:rFonts w:ascii="Times New Roman" w:hAnsi="Times New Roman"/>
          <w:bCs/>
          <w:i/>
          <w:iCs/>
          <w:color w:val="000000"/>
          <w:sz w:val="22"/>
          <w:szCs w:val="22"/>
        </w:rPr>
        <w:t>Biblii</w:t>
      </w:r>
      <w:r w:rsidRPr="00474D35">
        <w:rPr>
          <w:rFonts w:ascii="Times New Roman" w:hAnsi="Times New Roman"/>
          <w:bCs/>
          <w:iCs/>
          <w:color w:val="000000"/>
          <w:sz w:val="22"/>
          <w:szCs w:val="22"/>
        </w:rPr>
        <w:t xml:space="preserve"> widzimy ścisłe powiązanie między stworzeniem a odrodzeniem. Potrzeba odrodzenia jest podyktowana upadkiem ludzkości (Rdz 3), który doprowadził do </w:t>
      </w:r>
      <w:proofErr w:type="spellStart"/>
      <w:r w:rsidRPr="00474D35">
        <w:rPr>
          <w:rFonts w:ascii="Times New Roman" w:hAnsi="Times New Roman"/>
          <w:bCs/>
          <w:iCs/>
          <w:color w:val="000000"/>
          <w:sz w:val="22"/>
          <w:szCs w:val="22"/>
        </w:rPr>
        <w:t>dekreacji</w:t>
      </w:r>
      <w:proofErr w:type="spellEnd"/>
      <w:r w:rsidRPr="00474D35">
        <w:rPr>
          <w:rFonts w:ascii="Times New Roman" w:hAnsi="Times New Roman"/>
          <w:bCs/>
          <w:iCs/>
          <w:color w:val="000000"/>
          <w:sz w:val="22"/>
          <w:szCs w:val="22"/>
        </w:rPr>
        <w:t xml:space="preserve"> czyli odwrócenia stworzenia. Jr 4,23-26 opisuje to odwrócenie stworzenia w żywych słowach. Prorocy często posługiwali się językiem nawiązującym do stworzenia, by wyrazić potrzebę odrodzenia, odnowy ludzkości (np. Iz 44,24; Jr 10,12-16). Tak więc objawienie Boga jako Stwórcy w Hi 38—39 prowadzi Hioba do uznania własnej grzeszności, co prowadzi go wprost w ramiona Odkupiciela.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iCs/>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474D35">
        <w:rPr>
          <w:rFonts w:ascii="Times New Roman" w:hAnsi="Times New Roman"/>
          <w:b/>
          <w:bCs/>
          <w:color w:val="000000"/>
          <w:sz w:val="22"/>
          <w:szCs w:val="22"/>
        </w:rPr>
        <w:t>Komentarz biblijny</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 xml:space="preserve">Odkupiciel oraz Jego życie i śmierć na ziemi były typologicznie przepowiedziane w </w:t>
      </w:r>
      <w:r w:rsidRPr="00474D35">
        <w:rPr>
          <w:rFonts w:ascii="Times New Roman" w:hAnsi="Times New Roman"/>
          <w:i/>
          <w:iCs/>
          <w:color w:val="000000"/>
          <w:sz w:val="22"/>
          <w:szCs w:val="22"/>
        </w:rPr>
        <w:t>Starym Testamencie</w:t>
      </w:r>
      <w:r w:rsidRPr="00474D35">
        <w:rPr>
          <w:rFonts w:ascii="Times New Roman" w:hAnsi="Times New Roman"/>
          <w:color w:val="000000"/>
          <w:sz w:val="22"/>
          <w:szCs w:val="22"/>
        </w:rPr>
        <w:t xml:space="preserve">. Typologię można określić jako studium osób, wydarzeń i instytucji w dziejach zbawienia, które Bóg ustanowił jako zapowiedź ich </w:t>
      </w:r>
      <w:proofErr w:type="spellStart"/>
      <w:r w:rsidRPr="00474D35">
        <w:rPr>
          <w:rFonts w:ascii="Times New Roman" w:hAnsi="Times New Roman"/>
          <w:color w:val="000000"/>
          <w:sz w:val="22"/>
          <w:szCs w:val="22"/>
        </w:rPr>
        <w:t>antytypicznego</w:t>
      </w:r>
      <w:proofErr w:type="spellEnd"/>
      <w:r w:rsidRPr="00474D35">
        <w:rPr>
          <w:rFonts w:ascii="Times New Roman" w:hAnsi="Times New Roman"/>
          <w:color w:val="000000"/>
          <w:sz w:val="22"/>
          <w:szCs w:val="22"/>
        </w:rPr>
        <w:t xml:space="preserve">, eschatologicznego spełnienia w Chrystusie i rzeczywistości ewangelicznej wprowadzonej przez Chrystusa. Komentatorzy dyskutują, czy Hiob, odwołując się do Odkupiciel, miał pojęcie o Mesjaszu. Jednak nie powinniśmy nie doceniać teologicznej </w:t>
      </w:r>
      <w:r w:rsidRPr="00474D35">
        <w:rPr>
          <w:rFonts w:ascii="Times New Roman" w:hAnsi="Times New Roman"/>
          <w:color w:val="000000"/>
          <w:sz w:val="22"/>
          <w:szCs w:val="22"/>
        </w:rPr>
        <w:lastRenderedPageBreak/>
        <w:t>proroczej kompetencji ludzi żyjących w czasach starotestamentowych, jako że Mesjasz został obiecany już po upadku w Edenie (por. Rdz 3,15).</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I. </w:t>
      </w:r>
      <w:proofErr w:type="spellStart"/>
      <w:r w:rsidRPr="00474D35">
        <w:rPr>
          <w:rFonts w:ascii="Times New Roman" w:hAnsi="Times New Roman"/>
          <w:b/>
          <w:bCs/>
          <w:i/>
          <w:iCs/>
          <w:color w:val="000000"/>
          <w:sz w:val="22"/>
          <w:szCs w:val="22"/>
        </w:rPr>
        <w:t>Goel</w:t>
      </w:r>
      <w:proofErr w:type="spellEnd"/>
      <w:r w:rsidRPr="00474D35">
        <w:rPr>
          <w:rFonts w:ascii="Times New Roman" w:hAnsi="Times New Roman"/>
          <w:b/>
          <w:bCs/>
          <w:color w:val="000000"/>
          <w:sz w:val="22"/>
          <w:szCs w:val="22"/>
        </w:rPr>
        <w:t xml:space="preserve"> </w:t>
      </w:r>
      <w:r w:rsidRPr="00474D35">
        <w:rPr>
          <w:rFonts w:ascii="Times New Roman" w:hAnsi="Times New Roman"/>
          <w:color w:val="000000"/>
          <w:sz w:val="22"/>
          <w:szCs w:val="22"/>
        </w:rPr>
        <w:t xml:space="preserve">(przeczytaj Hi 19,25; </w:t>
      </w:r>
      <w:proofErr w:type="spellStart"/>
      <w:r w:rsidRPr="00474D35">
        <w:rPr>
          <w:rFonts w:ascii="Times New Roman" w:hAnsi="Times New Roman"/>
          <w:color w:val="000000"/>
          <w:sz w:val="22"/>
          <w:szCs w:val="22"/>
        </w:rPr>
        <w:t>Łk</w:t>
      </w:r>
      <w:proofErr w:type="spellEnd"/>
      <w:r w:rsidRPr="00474D35">
        <w:rPr>
          <w:rFonts w:ascii="Times New Roman" w:hAnsi="Times New Roman"/>
          <w:color w:val="000000"/>
          <w:sz w:val="22"/>
          <w:szCs w:val="22"/>
        </w:rPr>
        <w:t xml:space="preserve"> 2,11).</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 xml:space="preserve">Hebrajskie słowo </w:t>
      </w:r>
      <w:proofErr w:type="spellStart"/>
      <w:r w:rsidRPr="00474D35">
        <w:rPr>
          <w:rFonts w:ascii="Times New Roman" w:hAnsi="Times New Roman"/>
          <w:i/>
          <w:iCs/>
          <w:color w:val="000000"/>
          <w:sz w:val="22"/>
          <w:szCs w:val="22"/>
        </w:rPr>
        <w:t>goel</w:t>
      </w:r>
      <w:proofErr w:type="spellEnd"/>
      <w:r w:rsidRPr="00474D35">
        <w:rPr>
          <w:rFonts w:ascii="Times New Roman" w:hAnsi="Times New Roman"/>
          <w:color w:val="000000"/>
          <w:sz w:val="22"/>
          <w:szCs w:val="22"/>
        </w:rPr>
        <w:t xml:space="preserve">, tłumaczone jako „Odkupiciel” w Hi 19,25, jest jednym z najważniejszych słów w </w:t>
      </w:r>
      <w:r w:rsidRPr="00474D35">
        <w:rPr>
          <w:rFonts w:ascii="Times New Roman" w:hAnsi="Times New Roman"/>
          <w:i/>
          <w:iCs/>
          <w:color w:val="000000"/>
          <w:sz w:val="22"/>
          <w:szCs w:val="22"/>
        </w:rPr>
        <w:t>Starym Testamencie</w:t>
      </w:r>
      <w:r w:rsidRPr="00474D35">
        <w:rPr>
          <w:rFonts w:ascii="Times New Roman" w:hAnsi="Times New Roman"/>
          <w:color w:val="000000"/>
          <w:sz w:val="22"/>
          <w:szCs w:val="22"/>
        </w:rPr>
        <w:t xml:space="preserve"> opisujących Boże dzieło zbawienia w kategoriach ludzkich instytucji zapewniających legalny sposób przeciwdziałania społecznej biedzie. Słowo to jest jednym z kluczowych słów w historii Rut i </w:t>
      </w:r>
      <w:proofErr w:type="spellStart"/>
      <w:r w:rsidRPr="00474D35">
        <w:rPr>
          <w:rFonts w:ascii="Times New Roman" w:hAnsi="Times New Roman"/>
          <w:color w:val="000000"/>
          <w:sz w:val="22"/>
          <w:szCs w:val="22"/>
        </w:rPr>
        <w:t>Boaza</w:t>
      </w:r>
      <w:proofErr w:type="spellEnd"/>
      <w:r w:rsidRPr="00474D35">
        <w:rPr>
          <w:rFonts w:ascii="Times New Roman" w:hAnsi="Times New Roman"/>
          <w:color w:val="000000"/>
          <w:sz w:val="22"/>
          <w:szCs w:val="22"/>
        </w:rPr>
        <w:t xml:space="preserve">. </w:t>
      </w:r>
      <w:proofErr w:type="spellStart"/>
      <w:r w:rsidRPr="00474D35">
        <w:rPr>
          <w:rFonts w:ascii="Times New Roman" w:hAnsi="Times New Roman"/>
          <w:i/>
          <w:iCs/>
          <w:color w:val="000000"/>
          <w:sz w:val="22"/>
          <w:szCs w:val="22"/>
        </w:rPr>
        <w:t>Goel</w:t>
      </w:r>
      <w:proofErr w:type="spellEnd"/>
      <w:r w:rsidRPr="00474D35">
        <w:rPr>
          <w:rFonts w:ascii="Times New Roman" w:hAnsi="Times New Roman"/>
          <w:color w:val="000000"/>
          <w:sz w:val="22"/>
          <w:szCs w:val="22"/>
        </w:rPr>
        <w:t xml:space="preserve"> czyli „rodzicielski </w:t>
      </w:r>
      <w:proofErr w:type="spellStart"/>
      <w:r w:rsidRPr="00474D35">
        <w:rPr>
          <w:rFonts w:ascii="Times New Roman" w:hAnsi="Times New Roman"/>
          <w:color w:val="000000"/>
          <w:sz w:val="22"/>
          <w:szCs w:val="22"/>
        </w:rPr>
        <w:t>wykupiciel</w:t>
      </w:r>
      <w:proofErr w:type="spellEnd"/>
      <w:r w:rsidRPr="00474D35">
        <w:rPr>
          <w:rFonts w:ascii="Times New Roman" w:hAnsi="Times New Roman"/>
          <w:color w:val="000000"/>
          <w:sz w:val="22"/>
          <w:szCs w:val="22"/>
        </w:rPr>
        <w:t xml:space="preserve">” występuje dziesięciokrotnie w </w:t>
      </w:r>
      <w:r w:rsidRPr="00474D35">
        <w:rPr>
          <w:rFonts w:ascii="Times New Roman" w:hAnsi="Times New Roman"/>
          <w:i/>
          <w:iCs/>
          <w:color w:val="000000"/>
          <w:sz w:val="22"/>
          <w:szCs w:val="22"/>
        </w:rPr>
        <w:t>Księdze Rut</w:t>
      </w:r>
      <w:r w:rsidRPr="00474D35">
        <w:rPr>
          <w:rFonts w:ascii="Times New Roman" w:hAnsi="Times New Roman"/>
          <w:color w:val="000000"/>
          <w:sz w:val="22"/>
          <w:szCs w:val="22"/>
        </w:rPr>
        <w:t xml:space="preserve"> (</w:t>
      </w:r>
      <w:proofErr w:type="spellStart"/>
      <w:r w:rsidRPr="00474D35">
        <w:rPr>
          <w:rFonts w:ascii="Times New Roman" w:hAnsi="Times New Roman"/>
          <w:color w:val="000000"/>
          <w:sz w:val="22"/>
          <w:szCs w:val="22"/>
        </w:rPr>
        <w:t>Rt</w:t>
      </w:r>
      <w:proofErr w:type="spellEnd"/>
      <w:r w:rsidRPr="00474D35">
        <w:rPr>
          <w:rFonts w:ascii="Times New Roman" w:hAnsi="Times New Roman"/>
          <w:color w:val="000000"/>
          <w:sz w:val="22"/>
          <w:szCs w:val="22"/>
        </w:rPr>
        <w:t xml:space="preserve"> 2,20; 3,9.12.13; 4,1.3.4.6.8.14), która ma zaledwie cztery rozdziały. Tak więc słowo to jest ważnym kluczem do zrozumienia tej księgi.</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 xml:space="preserve">W niektórych kontekstach starotestamentowych słowo </w:t>
      </w:r>
      <w:proofErr w:type="spellStart"/>
      <w:r w:rsidRPr="00474D35">
        <w:rPr>
          <w:rFonts w:ascii="Times New Roman" w:hAnsi="Times New Roman"/>
          <w:i/>
          <w:iCs/>
          <w:color w:val="000000"/>
          <w:sz w:val="22"/>
          <w:szCs w:val="22"/>
        </w:rPr>
        <w:t>goel</w:t>
      </w:r>
      <w:proofErr w:type="spellEnd"/>
      <w:r w:rsidRPr="00474D35">
        <w:rPr>
          <w:rFonts w:ascii="Times New Roman" w:hAnsi="Times New Roman"/>
          <w:color w:val="000000"/>
          <w:sz w:val="22"/>
          <w:szCs w:val="22"/>
        </w:rPr>
        <w:t xml:space="preserve"> jest użyte w odniesieniu do Boga. To On dokonuje odkupienia (</w:t>
      </w:r>
      <w:proofErr w:type="spellStart"/>
      <w:r w:rsidRPr="00474D35">
        <w:rPr>
          <w:rFonts w:ascii="Times New Roman" w:hAnsi="Times New Roman"/>
          <w:color w:val="000000"/>
          <w:sz w:val="22"/>
          <w:szCs w:val="22"/>
        </w:rPr>
        <w:t>Wj</w:t>
      </w:r>
      <w:proofErr w:type="spellEnd"/>
      <w:r w:rsidRPr="00474D35">
        <w:rPr>
          <w:rFonts w:ascii="Times New Roman" w:hAnsi="Times New Roman"/>
          <w:color w:val="000000"/>
          <w:sz w:val="22"/>
          <w:szCs w:val="22"/>
        </w:rPr>
        <w:t xml:space="preserve"> 15,13) i tak jest nazwany w </w:t>
      </w:r>
      <w:r w:rsidRPr="00474D35">
        <w:rPr>
          <w:rFonts w:ascii="Times New Roman" w:hAnsi="Times New Roman"/>
          <w:i/>
          <w:iCs/>
          <w:color w:val="000000"/>
          <w:sz w:val="22"/>
          <w:szCs w:val="22"/>
        </w:rPr>
        <w:t>Księdze Psalmów</w:t>
      </w:r>
      <w:r w:rsidRPr="00474D35">
        <w:rPr>
          <w:rFonts w:ascii="Times New Roman" w:hAnsi="Times New Roman"/>
          <w:color w:val="000000"/>
          <w:sz w:val="22"/>
          <w:szCs w:val="22"/>
        </w:rPr>
        <w:t xml:space="preserve"> (</w:t>
      </w:r>
      <w:proofErr w:type="spellStart"/>
      <w:r w:rsidRPr="00474D35">
        <w:rPr>
          <w:rFonts w:ascii="Times New Roman" w:hAnsi="Times New Roman"/>
          <w:color w:val="000000"/>
          <w:sz w:val="22"/>
          <w:szCs w:val="22"/>
        </w:rPr>
        <w:t>Ps</w:t>
      </w:r>
      <w:proofErr w:type="spellEnd"/>
      <w:r w:rsidRPr="00474D35">
        <w:rPr>
          <w:rFonts w:ascii="Times New Roman" w:hAnsi="Times New Roman"/>
          <w:color w:val="000000"/>
          <w:sz w:val="22"/>
          <w:szCs w:val="22"/>
        </w:rPr>
        <w:t xml:space="preserve"> 19,15; 69,19; 72,14; 74,2 itd.). Jednak termin ten jest używany także w odniesieniu do ludzi w kontekście prawnym czyli pierwotnym kontekście tego słowa (zob. </w:t>
      </w:r>
      <w:proofErr w:type="spellStart"/>
      <w:r w:rsidRPr="00474D35">
        <w:rPr>
          <w:rFonts w:ascii="Times New Roman" w:hAnsi="Times New Roman"/>
          <w:color w:val="000000"/>
          <w:sz w:val="22"/>
          <w:szCs w:val="22"/>
        </w:rPr>
        <w:t>Kpł</w:t>
      </w:r>
      <w:proofErr w:type="spellEnd"/>
      <w:r w:rsidRPr="00474D35">
        <w:rPr>
          <w:rFonts w:ascii="Times New Roman" w:hAnsi="Times New Roman"/>
          <w:color w:val="000000"/>
          <w:sz w:val="22"/>
          <w:szCs w:val="22"/>
        </w:rPr>
        <w:t xml:space="preserve"> 25,23-34 w </w:t>
      </w:r>
      <w:proofErr w:type="spellStart"/>
      <w:r w:rsidRPr="00474D35">
        <w:rPr>
          <w:rFonts w:ascii="Times New Roman" w:hAnsi="Times New Roman"/>
          <w:color w:val="000000"/>
          <w:sz w:val="22"/>
          <w:szCs w:val="22"/>
        </w:rPr>
        <w:t>konteście</w:t>
      </w:r>
      <w:proofErr w:type="spellEnd"/>
      <w:r w:rsidRPr="00474D35">
        <w:rPr>
          <w:rFonts w:ascii="Times New Roman" w:hAnsi="Times New Roman"/>
          <w:color w:val="000000"/>
          <w:sz w:val="22"/>
          <w:szCs w:val="22"/>
        </w:rPr>
        <w:t xml:space="preserve"> prawa odkupienia; Lb 5,8 w kontekście prawa restytucji; Lb 35,12.19.21.24.25.27 w kontekście miast ucieczki, gdzie </w:t>
      </w:r>
      <w:proofErr w:type="spellStart"/>
      <w:r w:rsidRPr="00474D35">
        <w:rPr>
          <w:rFonts w:ascii="Times New Roman" w:hAnsi="Times New Roman"/>
          <w:i/>
          <w:iCs/>
          <w:color w:val="000000"/>
          <w:sz w:val="22"/>
          <w:szCs w:val="22"/>
        </w:rPr>
        <w:t>goel</w:t>
      </w:r>
      <w:proofErr w:type="spellEnd"/>
      <w:r w:rsidRPr="00474D35">
        <w:rPr>
          <w:rFonts w:ascii="Times New Roman" w:hAnsi="Times New Roman"/>
          <w:color w:val="000000"/>
          <w:sz w:val="22"/>
          <w:szCs w:val="22"/>
        </w:rPr>
        <w:t xml:space="preserve"> jest tłumaczone jako „mściciel”). Jednak należy pamiętać, że element zbawczy zawsze towarzyszył legalnym wymogom </w:t>
      </w:r>
      <w:r w:rsidRPr="00474D35">
        <w:rPr>
          <w:rFonts w:ascii="Times New Roman" w:hAnsi="Times New Roman"/>
          <w:i/>
          <w:iCs/>
          <w:color w:val="000000"/>
          <w:sz w:val="22"/>
          <w:szCs w:val="22"/>
        </w:rPr>
        <w:t>Starego Testamentu</w:t>
      </w:r>
      <w:r w:rsidRPr="00474D35">
        <w:rPr>
          <w:rFonts w:ascii="Times New Roman" w:hAnsi="Times New Roman"/>
          <w:color w:val="000000"/>
          <w:sz w:val="22"/>
          <w:szCs w:val="22"/>
        </w:rPr>
        <w:t>. Na przykład, w Iz 49,26; 60,16; 63,9 to połączenie występuje obok hebrajskiego słowa tłumaczonego jako „zbawić”.</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 xml:space="preserve">W typologii mesjanistycznej Jezus Chrystus jest </w:t>
      </w:r>
      <w:proofErr w:type="spellStart"/>
      <w:r w:rsidRPr="00474D35">
        <w:rPr>
          <w:rFonts w:ascii="Times New Roman" w:hAnsi="Times New Roman"/>
          <w:i/>
          <w:iCs/>
          <w:color w:val="000000"/>
          <w:sz w:val="22"/>
          <w:szCs w:val="22"/>
        </w:rPr>
        <w:t>goel</w:t>
      </w:r>
      <w:proofErr w:type="spellEnd"/>
      <w:r w:rsidRPr="00474D35">
        <w:rPr>
          <w:rFonts w:ascii="Times New Roman" w:hAnsi="Times New Roman"/>
          <w:color w:val="000000"/>
          <w:sz w:val="22"/>
          <w:szCs w:val="22"/>
        </w:rPr>
        <w:t xml:space="preserve"> i wypełnia wymagane warunki prawne: (1) Musi być krewnym (</w:t>
      </w:r>
      <w:proofErr w:type="spellStart"/>
      <w:r w:rsidRPr="00474D35">
        <w:rPr>
          <w:rFonts w:ascii="Times New Roman" w:hAnsi="Times New Roman"/>
          <w:color w:val="000000"/>
          <w:sz w:val="22"/>
          <w:szCs w:val="22"/>
        </w:rPr>
        <w:t>Rt</w:t>
      </w:r>
      <w:proofErr w:type="spellEnd"/>
      <w:r w:rsidRPr="00474D35">
        <w:rPr>
          <w:rFonts w:ascii="Times New Roman" w:hAnsi="Times New Roman"/>
          <w:color w:val="000000"/>
          <w:sz w:val="22"/>
          <w:szCs w:val="22"/>
        </w:rPr>
        <w:t xml:space="preserve"> 2,20) - Chrystus stał się człowiekiem; (2) musi mieć środki na wykup dziedzictwa (</w:t>
      </w:r>
      <w:proofErr w:type="spellStart"/>
      <w:r w:rsidRPr="00474D35">
        <w:rPr>
          <w:rFonts w:ascii="Times New Roman" w:hAnsi="Times New Roman"/>
          <w:color w:val="000000"/>
          <w:sz w:val="22"/>
          <w:szCs w:val="22"/>
        </w:rPr>
        <w:t>Rt</w:t>
      </w:r>
      <w:proofErr w:type="spellEnd"/>
      <w:r w:rsidRPr="00474D35">
        <w:rPr>
          <w:rFonts w:ascii="Times New Roman" w:hAnsi="Times New Roman"/>
          <w:color w:val="000000"/>
          <w:sz w:val="22"/>
          <w:szCs w:val="22"/>
        </w:rPr>
        <w:t xml:space="preserve"> 4,10) - tylko Chrystus mógł zapłacić cenę za grzeszników; (3) musi być gotowy nabyć dziedzictwo (</w:t>
      </w:r>
      <w:proofErr w:type="spellStart"/>
      <w:r w:rsidRPr="00474D35">
        <w:rPr>
          <w:rFonts w:ascii="Times New Roman" w:hAnsi="Times New Roman"/>
          <w:color w:val="000000"/>
          <w:sz w:val="22"/>
          <w:szCs w:val="22"/>
        </w:rPr>
        <w:t>Rt</w:t>
      </w:r>
      <w:proofErr w:type="spellEnd"/>
      <w:r w:rsidRPr="00474D35">
        <w:rPr>
          <w:rFonts w:ascii="Times New Roman" w:hAnsi="Times New Roman"/>
          <w:color w:val="000000"/>
          <w:sz w:val="22"/>
          <w:szCs w:val="22"/>
        </w:rPr>
        <w:t xml:space="preserve"> 4,9) - Chrystus dobrowolnie oddał życie; (4) musi być gotowy poślubić wdowę po zmarłym krewnym (</w:t>
      </w:r>
      <w:proofErr w:type="spellStart"/>
      <w:r w:rsidRPr="00474D35">
        <w:rPr>
          <w:rFonts w:ascii="Times New Roman" w:hAnsi="Times New Roman"/>
          <w:color w:val="000000"/>
          <w:sz w:val="22"/>
          <w:szCs w:val="22"/>
        </w:rPr>
        <w:t>Rt</w:t>
      </w:r>
      <w:proofErr w:type="spellEnd"/>
      <w:r w:rsidRPr="00474D35">
        <w:rPr>
          <w:rFonts w:ascii="Times New Roman" w:hAnsi="Times New Roman"/>
          <w:color w:val="000000"/>
          <w:sz w:val="22"/>
          <w:szCs w:val="22"/>
        </w:rPr>
        <w:t xml:space="preserve"> 4,10) - związek małżeński jest symbolem więzi między Chrystusem i Jego Kościołem.</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Do rozważenia: </w:t>
      </w:r>
      <w:r w:rsidRPr="00474D35">
        <w:rPr>
          <w:rFonts w:ascii="Times New Roman" w:hAnsi="Times New Roman"/>
          <w:color w:val="000000"/>
          <w:sz w:val="22"/>
          <w:szCs w:val="22"/>
        </w:rPr>
        <w:t xml:space="preserve">Jak Chrystus jako </w:t>
      </w:r>
      <w:proofErr w:type="spellStart"/>
      <w:r w:rsidRPr="00474D35">
        <w:rPr>
          <w:rFonts w:ascii="Times New Roman" w:hAnsi="Times New Roman"/>
          <w:i/>
          <w:iCs/>
          <w:color w:val="000000"/>
          <w:sz w:val="22"/>
          <w:szCs w:val="22"/>
        </w:rPr>
        <w:t>goel</w:t>
      </w:r>
      <w:proofErr w:type="spellEnd"/>
      <w:r w:rsidRPr="00474D35">
        <w:rPr>
          <w:rFonts w:ascii="Times New Roman" w:hAnsi="Times New Roman"/>
          <w:color w:val="000000"/>
          <w:sz w:val="22"/>
          <w:szCs w:val="22"/>
        </w:rPr>
        <w:t xml:space="preserve"> wypełnia wymagane warunki prawne? Jaki aspekt roli Jezusa jako Odkupiciela jest dla ciebie najważniejszych w twojej sytuacji życiowej?</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II. Boskie cierpienie</w:t>
      </w:r>
      <w:r w:rsidRPr="00474D35">
        <w:rPr>
          <w:rFonts w:ascii="Times New Roman" w:hAnsi="Times New Roman"/>
          <w:color w:val="000000"/>
          <w:sz w:val="22"/>
          <w:szCs w:val="22"/>
        </w:rPr>
        <w:t xml:space="preserve"> (przeczytaj </w:t>
      </w:r>
      <w:proofErr w:type="spellStart"/>
      <w:r w:rsidRPr="00474D35">
        <w:rPr>
          <w:rFonts w:ascii="Times New Roman" w:hAnsi="Times New Roman"/>
          <w:color w:val="000000"/>
          <w:sz w:val="22"/>
          <w:szCs w:val="22"/>
        </w:rPr>
        <w:t>Łk</w:t>
      </w:r>
      <w:proofErr w:type="spellEnd"/>
      <w:r w:rsidRPr="00474D35">
        <w:rPr>
          <w:rFonts w:ascii="Times New Roman" w:hAnsi="Times New Roman"/>
          <w:color w:val="000000"/>
          <w:sz w:val="22"/>
          <w:szCs w:val="22"/>
        </w:rPr>
        <w:t xml:space="preserve"> 9,22; Mt 27,46).</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Kiedy Jezus w męce zawołał na krzyżu: „Boże mój, Boże mój, czemuś mnie opuścił?” (Mt 27,46), odczuwał odłączenie od Ojca spowodowane połączonymi grzechami całego świata (2 Kor 5,21). Wydawało się, że szatan ostatecznie wygra. Chrystus zawisł między niebem a ziemią na środkowym krzyżu na Golgocie. Ci z uczniów, którzy mieli odwagę pójść za swym Nauczycielem na miejsce męki, patrzyli, jak ich nadzieje topniały pośród cierpień Syna Bożego. Wydawało się, że triumf zła jest zupełny. Przyroda ukryła się w ciemności i cierpiała wraz ze swym Stwórcą. Bóg Ojciec milczał. To musiało być największe cierpienie.</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 xml:space="preserve">Jednak </w:t>
      </w:r>
      <w:proofErr w:type="spellStart"/>
      <w:r w:rsidRPr="00474D35">
        <w:rPr>
          <w:rFonts w:ascii="Times New Roman" w:hAnsi="Times New Roman"/>
          <w:color w:val="000000"/>
          <w:sz w:val="22"/>
          <w:szCs w:val="22"/>
        </w:rPr>
        <w:t>Ellen</w:t>
      </w:r>
      <w:proofErr w:type="spellEnd"/>
      <w:r w:rsidRPr="00474D35">
        <w:rPr>
          <w:rFonts w:ascii="Times New Roman" w:hAnsi="Times New Roman"/>
          <w:color w:val="000000"/>
          <w:sz w:val="22"/>
          <w:szCs w:val="22"/>
        </w:rPr>
        <w:t xml:space="preserve"> G. White uchwyciła jeszcze jedno spojrzenie na tę straszną scenę: „</w:t>
      </w:r>
      <w:r w:rsidRPr="00474D35">
        <w:rPr>
          <w:rFonts w:ascii="Times New Roman" w:hAnsi="Times New Roman"/>
          <w:sz w:val="22"/>
          <w:szCs w:val="22"/>
        </w:rPr>
        <w:t>Ze zdumieniem aniołowie przyglądali się rozpaczliwej agonii Zbawiciela. Zastępy niebiańskie zasłaniały sobie twarze na ten straszliwy widok. Nawet nieożywiona przyroda wyrażała swe współczucie pohańbionemu, konającemu Stwórcy. Słońce nie chciało patrzeć na budzący grozę widok. Jego pełne, jasne promienie, oświetlały ziemię w południe, kiedy nagle zdawało się, że zgasły. Całkowite ciemności spowiły krzyż niczym żałobny kir. „Ciemność zaległa całą ziemię aż do godziny dziewiątej [piętnastej — przyp. red.]”. (...) W tych gęstych ciemnościach ukryta była Boża obecność. (...) Bóg i Jego święci aniołowie byli przy krzyżu. Ojciec był ze swym Synem</w:t>
      </w:r>
      <w:r w:rsidRPr="00474D35">
        <w:rPr>
          <w:rFonts w:ascii="Times New Roman" w:hAnsi="Times New Roman"/>
          <w:color w:val="000000"/>
          <w:sz w:val="22"/>
          <w:szCs w:val="22"/>
        </w:rPr>
        <w:t>” (</w:t>
      </w:r>
      <w:proofErr w:type="spellStart"/>
      <w:r w:rsidRPr="00474D35">
        <w:rPr>
          <w:rFonts w:ascii="Times New Roman" w:hAnsi="Times New Roman"/>
          <w:color w:val="000000"/>
          <w:sz w:val="22"/>
          <w:szCs w:val="22"/>
        </w:rPr>
        <w:t>Ellen</w:t>
      </w:r>
      <w:proofErr w:type="spellEnd"/>
      <w:r w:rsidRPr="00474D35">
        <w:rPr>
          <w:rFonts w:ascii="Times New Roman" w:hAnsi="Times New Roman"/>
          <w:color w:val="000000"/>
          <w:sz w:val="22"/>
          <w:szCs w:val="22"/>
        </w:rPr>
        <w:t xml:space="preserve"> G. White, </w:t>
      </w:r>
      <w:r w:rsidRPr="00474D35">
        <w:rPr>
          <w:rFonts w:ascii="Times New Roman" w:hAnsi="Times New Roman"/>
          <w:i/>
          <w:iCs/>
          <w:color w:val="000000"/>
          <w:sz w:val="22"/>
          <w:szCs w:val="22"/>
        </w:rPr>
        <w:t>Życie Jezusa</w:t>
      </w:r>
      <w:r w:rsidRPr="00474D35">
        <w:rPr>
          <w:rFonts w:ascii="Times New Roman" w:hAnsi="Times New Roman"/>
          <w:color w:val="000000"/>
          <w:sz w:val="22"/>
          <w:szCs w:val="22"/>
        </w:rPr>
        <w:t>, Warszawa 2013, wyd. XV, s. 683-684). Ojciec cierpiał wraz z Synem, a połączone boskie cierpienie stanowi punkt zwrotny w planie zbawienia i umożliwia ludzkości powrót do Boga. Wszelkie ludzkie cierpienie znajduje swoje rozwiązanie właśnie w tym momencie.</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Do rozważenia: </w:t>
      </w:r>
      <w:r w:rsidRPr="00474D35">
        <w:rPr>
          <w:rFonts w:ascii="Times New Roman" w:hAnsi="Times New Roman"/>
          <w:color w:val="000000"/>
          <w:sz w:val="22"/>
          <w:szCs w:val="22"/>
        </w:rPr>
        <w:t>Zastanów się głęboko nad cierpieniem Boga na Golgocie. W jakiej perspektywie stawia ono twoje cierpienie?</w:t>
      </w:r>
    </w:p>
    <w:p w:rsidR="00474D35" w:rsidRDefault="00474D35">
      <w:pPr>
        <w:spacing w:after="160" w:line="259" w:lineRule="auto"/>
        <w:ind w:firstLine="0"/>
        <w:jc w:val="left"/>
        <w:rPr>
          <w:rFonts w:ascii="Times New Roman" w:hAnsi="Times New Roman"/>
          <w:color w:val="000000"/>
          <w:sz w:val="22"/>
          <w:szCs w:val="22"/>
        </w:rPr>
      </w:pPr>
      <w:r>
        <w:rPr>
          <w:rFonts w:ascii="Times New Roman" w:hAnsi="Times New Roman"/>
          <w:color w:val="000000"/>
          <w:sz w:val="22"/>
          <w:szCs w:val="22"/>
        </w:rPr>
        <w:br w:type="page"/>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III. Chrystus naszym Zastępcą</w:t>
      </w:r>
      <w:r w:rsidRPr="00474D35">
        <w:rPr>
          <w:rFonts w:ascii="Times New Roman" w:hAnsi="Times New Roman"/>
          <w:color w:val="000000"/>
          <w:sz w:val="22"/>
          <w:szCs w:val="22"/>
        </w:rPr>
        <w:t xml:space="preserve"> (przeczytaj Iz 53,1-6; Ga 3,13; 4,19).</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Życie Chrystusa służy jako wzorzec dla naszego życia, a więc naszą aspiracją jest żyć tak, jak On żył. Jedynie zastępcza śmierć Chrystusa na krzyżu daje nam zbawienie. Pojednanie zostało dokonane wyłącznie dzięki temu, że Chrystus zajął nasze miejsce, przyjął nasze grzechy jako swoje, a swoją sprawiedliwość dał nam jako naszą.</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Do rozważenia: </w:t>
      </w:r>
      <w:r w:rsidRPr="00474D35">
        <w:rPr>
          <w:rFonts w:ascii="Times New Roman" w:hAnsi="Times New Roman"/>
          <w:color w:val="000000"/>
          <w:sz w:val="22"/>
          <w:szCs w:val="22"/>
        </w:rPr>
        <w:t>Dlaczego tak ważne jest podkreślenie zastępczego charakteru ofiary Chrystusa?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474D35">
        <w:rPr>
          <w:rFonts w:ascii="Times New Roman" w:hAnsi="Times New Roman"/>
          <w:b/>
          <w:bCs/>
          <w:color w:val="000000"/>
          <w:sz w:val="24"/>
          <w:szCs w:val="22"/>
        </w:rPr>
        <w:t>Etap 3 - Zastosowanie</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Tylko dla nauczyciela: </w:t>
      </w:r>
      <w:r w:rsidRPr="00474D35">
        <w:rPr>
          <w:rFonts w:ascii="Times New Roman" w:hAnsi="Times New Roman"/>
          <w:color w:val="000000"/>
          <w:sz w:val="22"/>
          <w:szCs w:val="22"/>
        </w:rPr>
        <w:t>Studium bieżącego tygodnia jest pełne ewangelicznej treści - Jezusa Chrystusa jako naszego Zastępcy i Odkupiciela. Musimy przejść od teologicznego zrozumienia do praktycznego zastosowania tej prawdy.</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474D35">
        <w:rPr>
          <w:rFonts w:ascii="Times New Roman" w:hAnsi="Times New Roman"/>
          <w:b/>
          <w:bCs/>
          <w:color w:val="000000"/>
          <w:sz w:val="22"/>
          <w:szCs w:val="22"/>
        </w:rPr>
        <w:t>Pytania do przemyślenia i zastosowania</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1. Jak przykłady zastępstwa w ludzkiej sferze ilustrują to, co Chrystus uczynił dla nas na krzyżu?</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color w:val="000000"/>
          <w:sz w:val="22"/>
          <w:szCs w:val="22"/>
        </w:rPr>
        <w:t>2. W jakich chwilach twojego życia Jezus, jako twój Odkupiciel, stał się dla ciebie najcenniejszy?</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4"/>
          <w:szCs w:val="22"/>
        </w:rPr>
      </w:pPr>
      <w:r w:rsidRPr="00474D35">
        <w:rPr>
          <w:rFonts w:ascii="Times New Roman" w:hAnsi="Times New Roman"/>
          <w:b/>
          <w:bCs/>
          <w:color w:val="000000"/>
          <w:sz w:val="24"/>
          <w:szCs w:val="22"/>
        </w:rPr>
        <w:t>Etap 4 - Tworzenie</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r w:rsidRPr="00474D35">
        <w:rPr>
          <w:rFonts w:ascii="Times New Roman" w:hAnsi="Times New Roman"/>
          <w:b/>
          <w:bCs/>
          <w:color w:val="000000"/>
          <w:sz w:val="22"/>
          <w:szCs w:val="22"/>
        </w:rPr>
        <w:t xml:space="preserve">Tylko dla nauczyciela: </w:t>
      </w:r>
      <w:r w:rsidRPr="00474D35">
        <w:rPr>
          <w:rFonts w:ascii="Times New Roman" w:hAnsi="Times New Roman"/>
          <w:color w:val="000000"/>
          <w:sz w:val="22"/>
          <w:szCs w:val="22"/>
        </w:rPr>
        <w:t>Tę lekcje rozpoczęliśmy od mocnego obrazu Odkupiciela, który daje nadzieję sięgającą ponad śmierć. Tak też powinniśmy tę lekcję zakończyć.</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olor w:val="000000"/>
          <w:sz w:val="22"/>
          <w:szCs w:val="22"/>
        </w:rPr>
      </w:pP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474D35">
        <w:rPr>
          <w:rFonts w:ascii="Times New Roman" w:hAnsi="Times New Roman"/>
          <w:b/>
          <w:bCs/>
          <w:color w:val="000000"/>
          <w:sz w:val="22"/>
          <w:szCs w:val="22"/>
        </w:rPr>
        <w:t>Zajęcia w klasie i indywidualne</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474D35">
        <w:rPr>
          <w:rFonts w:ascii="Times New Roman" w:hAnsi="Times New Roman"/>
          <w:color w:val="000000"/>
          <w:sz w:val="22"/>
          <w:szCs w:val="22"/>
        </w:rPr>
        <w:t xml:space="preserve">1. Wysłuchajcie wspólnie lub indywidualnie oratorium Haendla </w:t>
      </w:r>
      <w:r w:rsidRPr="00474D35">
        <w:rPr>
          <w:rFonts w:ascii="Times New Roman" w:hAnsi="Times New Roman"/>
          <w:i/>
          <w:iCs/>
          <w:color w:val="000000"/>
          <w:sz w:val="22"/>
          <w:szCs w:val="22"/>
        </w:rPr>
        <w:t>Mesjasz</w:t>
      </w:r>
      <w:r w:rsidRPr="00474D35">
        <w:rPr>
          <w:rFonts w:ascii="Times New Roman" w:hAnsi="Times New Roman"/>
          <w:color w:val="000000"/>
          <w:sz w:val="22"/>
          <w:szCs w:val="22"/>
        </w:rPr>
        <w:t xml:space="preserve">, a zwłaszcza arię „I </w:t>
      </w:r>
      <w:proofErr w:type="spellStart"/>
      <w:r w:rsidRPr="00474D35">
        <w:rPr>
          <w:rFonts w:ascii="Times New Roman" w:hAnsi="Times New Roman"/>
          <w:color w:val="000000"/>
          <w:sz w:val="22"/>
          <w:szCs w:val="22"/>
        </w:rPr>
        <w:t>Know</w:t>
      </w:r>
      <w:proofErr w:type="spellEnd"/>
      <w:r w:rsidRPr="00474D35">
        <w:rPr>
          <w:rFonts w:ascii="Times New Roman" w:hAnsi="Times New Roman"/>
          <w:color w:val="000000"/>
          <w:sz w:val="22"/>
          <w:szCs w:val="22"/>
        </w:rPr>
        <w:t xml:space="preserve"> </w:t>
      </w:r>
      <w:proofErr w:type="spellStart"/>
      <w:r w:rsidRPr="00474D35">
        <w:rPr>
          <w:rFonts w:ascii="Times New Roman" w:hAnsi="Times New Roman"/>
          <w:color w:val="000000"/>
          <w:sz w:val="22"/>
          <w:szCs w:val="22"/>
        </w:rPr>
        <w:t>that</w:t>
      </w:r>
      <w:proofErr w:type="spellEnd"/>
      <w:r w:rsidRPr="00474D35">
        <w:rPr>
          <w:rFonts w:ascii="Times New Roman" w:hAnsi="Times New Roman"/>
          <w:color w:val="000000"/>
          <w:sz w:val="22"/>
          <w:szCs w:val="22"/>
        </w:rPr>
        <w:t xml:space="preserve"> My </w:t>
      </w:r>
      <w:proofErr w:type="spellStart"/>
      <w:r w:rsidRPr="00474D35">
        <w:rPr>
          <w:rFonts w:ascii="Times New Roman" w:hAnsi="Times New Roman"/>
          <w:color w:val="000000"/>
          <w:sz w:val="22"/>
          <w:szCs w:val="22"/>
        </w:rPr>
        <w:t>Redeemer</w:t>
      </w:r>
      <w:proofErr w:type="spellEnd"/>
      <w:r w:rsidRPr="00474D35">
        <w:rPr>
          <w:rFonts w:ascii="Times New Roman" w:hAnsi="Times New Roman"/>
          <w:color w:val="000000"/>
          <w:sz w:val="22"/>
          <w:szCs w:val="22"/>
        </w:rPr>
        <w:t xml:space="preserve"> </w:t>
      </w:r>
      <w:proofErr w:type="spellStart"/>
      <w:r w:rsidRPr="00474D35">
        <w:rPr>
          <w:rFonts w:ascii="Times New Roman" w:hAnsi="Times New Roman"/>
          <w:color w:val="000000"/>
          <w:sz w:val="22"/>
          <w:szCs w:val="22"/>
        </w:rPr>
        <w:t>Liveth</w:t>
      </w:r>
      <w:proofErr w:type="spellEnd"/>
      <w:r w:rsidRPr="00474D35">
        <w:rPr>
          <w:rFonts w:ascii="Times New Roman" w:hAnsi="Times New Roman"/>
          <w:color w:val="000000"/>
          <w:sz w:val="22"/>
          <w:szCs w:val="22"/>
        </w:rPr>
        <w:t>”.</w:t>
      </w:r>
    </w:p>
    <w:p w:rsidR="00474D35" w:rsidRPr="00474D35" w:rsidRDefault="00474D35" w:rsidP="00474D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567" w:firstLine="0"/>
        <w:rPr>
          <w:rFonts w:ascii="Times New Roman" w:hAnsi="Times New Roman"/>
          <w:color w:val="000000"/>
          <w:sz w:val="22"/>
          <w:szCs w:val="22"/>
        </w:rPr>
      </w:pPr>
      <w:r w:rsidRPr="00474D35">
        <w:rPr>
          <w:rFonts w:ascii="Times New Roman" w:hAnsi="Times New Roman"/>
          <w:color w:val="000000"/>
          <w:sz w:val="22"/>
          <w:szCs w:val="22"/>
        </w:rPr>
        <w:t xml:space="preserve">2. Zaplanujcie wraz z chórem zborowym wykonanie fragmentów oratorium </w:t>
      </w:r>
      <w:r w:rsidRPr="00474D35">
        <w:rPr>
          <w:rFonts w:ascii="Times New Roman" w:hAnsi="Times New Roman"/>
          <w:i/>
          <w:iCs/>
          <w:color w:val="000000"/>
          <w:sz w:val="22"/>
          <w:szCs w:val="22"/>
        </w:rPr>
        <w:t>Mesjasz</w:t>
      </w:r>
      <w:r w:rsidRPr="00474D35">
        <w:rPr>
          <w:rFonts w:ascii="Times New Roman" w:hAnsi="Times New Roman"/>
          <w:color w:val="000000"/>
          <w:sz w:val="22"/>
          <w:szCs w:val="22"/>
        </w:rPr>
        <w:t xml:space="preserve"> w miejscu, gdzie ludzie potrzebują nadziei.</w:t>
      </w:r>
    </w:p>
    <w:p w:rsidR="00E316B8" w:rsidRPr="00474D35" w:rsidRDefault="00E316B8" w:rsidP="00474D35">
      <w:pPr>
        <w:jc w:val="center"/>
        <w:rPr>
          <w:rFonts w:ascii="Times New Roman" w:hAnsi="Times New Roman"/>
          <w:sz w:val="22"/>
          <w:szCs w:val="22"/>
        </w:rPr>
      </w:pPr>
      <w:bookmarkStart w:id="0" w:name="_GoBack"/>
      <w:bookmarkEnd w:id="0"/>
    </w:p>
    <w:sectPr w:rsidR="00E316B8" w:rsidRPr="00474D3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B85" w:rsidRDefault="00DE2B85" w:rsidP="00E42D55">
      <w:r>
        <w:separator/>
      </w:r>
    </w:p>
  </w:endnote>
  <w:endnote w:type="continuationSeparator" w:id="0">
    <w:p w:rsidR="00DE2B85" w:rsidRDefault="00DE2B85"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sdtContent>
      <w:p w:rsidR="0044066C" w:rsidRDefault="0044066C">
        <w:pPr>
          <w:pStyle w:val="Stopka"/>
          <w:jc w:val="right"/>
        </w:pPr>
        <w:r>
          <w:fldChar w:fldCharType="begin"/>
        </w:r>
        <w:r>
          <w:instrText>PAGE   \* MERGEFORMAT</w:instrText>
        </w:r>
        <w:r>
          <w:fldChar w:fldCharType="separate"/>
        </w:r>
        <w:r w:rsidR="00474D35">
          <w:rPr>
            <w:noProof/>
          </w:rPr>
          <w:t>3</w:t>
        </w:r>
        <w:r>
          <w:fldChar w:fldCharType="end"/>
        </w:r>
      </w:p>
    </w:sdtContent>
  </w:sdt>
  <w:p w:rsidR="0044066C" w:rsidRDefault="004406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B85" w:rsidRDefault="00DE2B85" w:rsidP="00E42D55">
      <w:r>
        <w:separator/>
      </w:r>
    </w:p>
  </w:footnote>
  <w:footnote w:type="continuationSeparator" w:id="0">
    <w:p w:rsidR="00DE2B85" w:rsidRDefault="00DE2B85"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66C" w:rsidRDefault="0044066C" w:rsidP="00E42D55">
    <w:pPr>
      <w:pStyle w:val="Nagwek"/>
      <w:rPr>
        <w:rFonts w:ascii="Times New Roman" w:hAnsi="Times New Roman"/>
        <w:sz w:val="20"/>
      </w:rPr>
    </w:pPr>
    <w:r w:rsidRPr="00DF79C1">
      <w:rPr>
        <w:rFonts w:ascii="Times New Roman" w:hAnsi="Times New Roman"/>
        <w:sz w:val="20"/>
      </w:rPr>
      <w:t xml:space="preserve">Lekcje </w:t>
    </w:r>
    <w:r>
      <w:rPr>
        <w:rFonts w:ascii="Times New Roman" w:hAnsi="Times New Roman"/>
        <w:sz w:val="20"/>
      </w:rPr>
      <w:t xml:space="preserve">biblijne 4/2016, Przewodnik dla nauczycieli, </w:t>
    </w:r>
  </w:p>
  <w:p w:rsidR="0044066C" w:rsidRPr="00DF79C1" w:rsidRDefault="0044066C" w:rsidP="00E42D55">
    <w:pPr>
      <w:pStyle w:val="Nagwek"/>
      <w:rPr>
        <w:rFonts w:ascii="Times New Roman" w:hAnsi="Times New Roman"/>
        <w:sz w:val="20"/>
      </w:rPr>
    </w:pPr>
    <w:r>
      <w:rPr>
        <w:rFonts w:ascii="Times New Roman" w:hAnsi="Times New Roman"/>
        <w:sz w:val="20"/>
      </w:rPr>
      <w:t xml:space="preserve">C. Goldstein, </w:t>
    </w:r>
    <w:r w:rsidRPr="00DF79C1">
      <w:rPr>
        <w:rFonts w:ascii="Times New Roman" w:hAnsi="Times New Roman"/>
        <w:sz w:val="20"/>
      </w:rPr>
      <w:t>Księga Hioba</w:t>
    </w:r>
    <w:r>
      <w:rPr>
        <w:rFonts w:ascii="Times New Roman" w:hAnsi="Times New Roman"/>
        <w:sz w:val="20"/>
      </w:rPr>
      <w:t xml:space="preserve">, lekcja </w:t>
    </w:r>
    <w:r w:rsidR="0028372A">
      <w:rPr>
        <w:rFonts w:ascii="Times New Roman" w:hAnsi="Times New Roman"/>
        <w:sz w:val="20"/>
      </w:rPr>
      <w:t>1</w:t>
    </w:r>
    <w:r w:rsidR="00474D35">
      <w:rPr>
        <w:rFonts w:ascii="Times New Roman" w:hAnsi="Times New Roman"/>
        <w:sz w:val="20"/>
      </w:rPr>
      <w:t>2</w:t>
    </w:r>
    <w:r>
      <w:rPr>
        <w:rFonts w:ascii="Times New Roman" w:hAnsi="Times New Roman"/>
        <w:sz w:val="20"/>
      </w:rPr>
      <w:t xml:space="preserve"> „</w:t>
    </w:r>
    <w:r w:rsidR="00474D35">
      <w:rPr>
        <w:rFonts w:ascii="Times New Roman" w:hAnsi="Times New Roman"/>
        <w:sz w:val="20"/>
      </w:rPr>
      <w:t>Odkupiciel Hioba</w:t>
    </w:r>
    <w:r>
      <w:rPr>
        <w:rFonts w:ascii="Times New Roman" w:hAnsi="Times New Roman"/>
        <w:sz w:val="20"/>
      </w:rPr>
      <w:t xml:space="preserve">” </w:t>
    </w:r>
  </w:p>
  <w:p w:rsidR="0044066C" w:rsidRDefault="0044066C">
    <w:pPr>
      <w:pStyle w:val="Nagwek"/>
    </w:pPr>
  </w:p>
  <w:p w:rsidR="0044066C" w:rsidRDefault="0044066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1618E0"/>
    <w:rsid w:val="00216578"/>
    <w:rsid w:val="0028372A"/>
    <w:rsid w:val="002F6BAB"/>
    <w:rsid w:val="0044066C"/>
    <w:rsid w:val="004529D9"/>
    <w:rsid w:val="00474D35"/>
    <w:rsid w:val="004B676B"/>
    <w:rsid w:val="004E3986"/>
    <w:rsid w:val="004F5671"/>
    <w:rsid w:val="005619CC"/>
    <w:rsid w:val="005A5354"/>
    <w:rsid w:val="00811747"/>
    <w:rsid w:val="00920DF8"/>
    <w:rsid w:val="00962EE5"/>
    <w:rsid w:val="00A34995"/>
    <w:rsid w:val="00AC0C48"/>
    <w:rsid w:val="00B03101"/>
    <w:rsid w:val="00B25CF5"/>
    <w:rsid w:val="00CA1F43"/>
    <w:rsid w:val="00CA26AD"/>
    <w:rsid w:val="00D7474C"/>
    <w:rsid w:val="00DE2B85"/>
    <w:rsid w:val="00E316B8"/>
    <w:rsid w:val="00E42D55"/>
    <w:rsid w:val="00E57B69"/>
    <w:rsid w:val="00E67F3A"/>
    <w:rsid w:val="00EF61DB"/>
    <w:rsid w:val="00FB49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4E7B5-87F9-40EE-8C2A-64E834995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1500</Words>
  <Characters>9001</Characters>
  <Application>Microsoft Office Word</Application>
  <DocSecurity>0</DocSecurity>
  <Lines>75</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3</cp:revision>
  <cp:lastPrinted>2016-10-24T17:06:00Z</cp:lastPrinted>
  <dcterms:created xsi:type="dcterms:W3CDTF">2016-10-24T17:43:00Z</dcterms:created>
  <dcterms:modified xsi:type="dcterms:W3CDTF">2016-10-24T17:47:00Z</dcterms:modified>
</cp:coreProperties>
</file>