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B84A74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666851">
        <w:rPr>
          <w:rFonts w:ascii="Times New Roman" w:hAnsi="Times New Roman"/>
          <w:sz w:val="20"/>
        </w:rPr>
        <w:t>1</w:t>
      </w:r>
      <w:r w:rsidR="00D92CA4">
        <w:rPr>
          <w:rFonts w:ascii="Times New Roman" w:hAnsi="Times New Roman"/>
          <w:sz w:val="20"/>
        </w:rPr>
        <w:t>3</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D92CA4">
        <w:rPr>
          <w:rFonts w:ascii="Times New Roman" w:hAnsi="Times New Roman"/>
          <w:sz w:val="20"/>
        </w:rPr>
        <w:t>25</w:t>
      </w:r>
      <w:r w:rsidR="00666851">
        <w:rPr>
          <w:rFonts w:ascii="Times New Roman" w:hAnsi="Times New Roman"/>
          <w:sz w:val="20"/>
        </w:rPr>
        <w:t xml:space="preserve"> czerwca</w:t>
      </w:r>
    </w:p>
    <w:p w14:paraId="78E2E118" w14:textId="1AEA5C0A" w:rsidR="00D746F4" w:rsidRPr="003E3A74" w:rsidRDefault="00D92CA4" w:rsidP="00080D7F">
      <w:pPr>
        <w:ind w:firstLine="0"/>
        <w:jc w:val="center"/>
        <w:rPr>
          <w:rFonts w:ascii="Times New Roman" w:hAnsi="Times New Roman"/>
          <w:b/>
          <w:sz w:val="28"/>
          <w:szCs w:val="28"/>
        </w:rPr>
      </w:pPr>
      <w:r>
        <w:rPr>
          <w:rFonts w:ascii="Times New Roman" w:hAnsi="Times New Roman"/>
          <w:b/>
          <w:sz w:val="28"/>
          <w:szCs w:val="28"/>
        </w:rPr>
        <w:t>IZRAEL W EGIPCIE</w:t>
      </w:r>
    </w:p>
    <w:p w14:paraId="46BBC094" w14:textId="77777777" w:rsidR="00B91A58" w:rsidRDefault="00B91A58" w:rsidP="00B91A58">
      <w:pPr>
        <w:rPr>
          <w:rFonts w:ascii="Times New Roman" w:eastAsiaTheme="minorHAnsi" w:hAnsi="Times New Roman"/>
          <w:b/>
          <w:bCs/>
          <w:sz w:val="20"/>
          <w:lang w:eastAsia="en-US"/>
        </w:rPr>
      </w:pPr>
    </w:p>
    <w:p w14:paraId="7EEFD121" w14:textId="77777777" w:rsidR="00BD5317" w:rsidRPr="00773E48" w:rsidRDefault="00BD5317" w:rsidP="00BD5317">
      <w:pPr>
        <w:rPr>
          <w:rFonts w:ascii="Times New Roman" w:eastAsiaTheme="minorHAnsi" w:hAnsi="Times New Roman"/>
          <w:sz w:val="20"/>
          <w:lang w:eastAsia="en-US"/>
        </w:rPr>
      </w:pPr>
    </w:p>
    <w:p w14:paraId="4BF7975B"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sz w:val="20"/>
          <w:lang w:eastAsia="en-US"/>
        </w:rPr>
        <w:t xml:space="preserve"> </w:t>
      </w:r>
      <w:r w:rsidRPr="00773E48">
        <w:rPr>
          <w:rFonts w:ascii="Times New Roman" w:eastAsiaTheme="minorHAnsi" w:hAnsi="Times New Roman"/>
          <w:iCs/>
          <w:sz w:val="20"/>
          <w:lang w:eastAsia="en-US"/>
        </w:rPr>
        <w:t>Rdz 47,27.</w:t>
      </w:r>
    </w:p>
    <w:p w14:paraId="74764AB5" w14:textId="77777777" w:rsidR="00D92CA4" w:rsidRPr="00773E48" w:rsidRDefault="00D92CA4" w:rsidP="00D92CA4">
      <w:pPr>
        <w:rPr>
          <w:rFonts w:ascii="Times New Roman" w:eastAsiaTheme="minorHAnsi" w:hAnsi="Times New Roman"/>
          <w:sz w:val="20"/>
          <w:lang w:eastAsia="en-US"/>
        </w:rPr>
      </w:pPr>
    </w:p>
    <w:p w14:paraId="791CFAFC"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Rdz 46-50; </w:t>
      </w:r>
      <w:proofErr w:type="spellStart"/>
      <w:r w:rsidRPr="00773E48">
        <w:rPr>
          <w:rFonts w:ascii="Times New Roman" w:eastAsiaTheme="minorHAnsi" w:hAnsi="Times New Roman"/>
          <w:iCs/>
          <w:sz w:val="20"/>
          <w:lang w:eastAsia="en-US"/>
        </w:rPr>
        <w:t>Dz</w:t>
      </w:r>
      <w:proofErr w:type="spellEnd"/>
      <w:r w:rsidRPr="00773E48">
        <w:rPr>
          <w:rFonts w:ascii="Times New Roman" w:eastAsiaTheme="minorHAnsi" w:hAnsi="Times New Roman"/>
          <w:iCs/>
          <w:sz w:val="20"/>
          <w:lang w:eastAsia="en-US"/>
        </w:rPr>
        <w:t> 3,25-26.</w:t>
      </w:r>
    </w:p>
    <w:p w14:paraId="67D591DA" w14:textId="77777777" w:rsidR="00D92CA4" w:rsidRPr="00773E48" w:rsidRDefault="00D92CA4" w:rsidP="00D92CA4">
      <w:pPr>
        <w:rPr>
          <w:rFonts w:ascii="Times New Roman" w:eastAsiaTheme="minorHAnsi" w:hAnsi="Times New Roman"/>
          <w:sz w:val="20"/>
          <w:lang w:eastAsia="en-US"/>
        </w:rPr>
      </w:pPr>
    </w:p>
    <w:p w14:paraId="07493F3A" w14:textId="77777777" w:rsidR="00D92CA4" w:rsidRPr="00773E48" w:rsidRDefault="00D92CA4" w:rsidP="00D92CA4">
      <w:pPr>
        <w:rPr>
          <w:rFonts w:ascii="Times New Roman" w:eastAsiaTheme="minorHAnsi" w:hAnsi="Times New Roman"/>
          <w:i/>
          <w:iCs/>
          <w:sz w:val="20"/>
          <w:lang w:eastAsia="en-US"/>
        </w:rPr>
      </w:pPr>
      <w:r w:rsidRPr="00773E48">
        <w:rPr>
          <w:rFonts w:ascii="Times New Roman" w:eastAsiaTheme="minorHAnsi" w:hAnsi="Times New Roman"/>
          <w:b/>
          <w:bCs/>
          <w:sz w:val="20"/>
          <w:lang w:eastAsia="en-US"/>
        </w:rPr>
        <w:t>Część I: Przegląd</w:t>
      </w:r>
    </w:p>
    <w:p w14:paraId="200B3E2F" w14:textId="77777777" w:rsidR="00D92CA4" w:rsidRPr="00773E48" w:rsidRDefault="00D92CA4" w:rsidP="00D92CA4">
      <w:pPr>
        <w:rPr>
          <w:rFonts w:ascii="Times New Roman" w:eastAsiaTheme="minorHAnsi" w:hAnsi="Times New Roman"/>
          <w:sz w:val="20"/>
          <w:lang w:eastAsia="en-US"/>
        </w:rPr>
      </w:pPr>
    </w:p>
    <w:p w14:paraId="6A5D47B2" w14:textId="54C2B3AF"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Ostatnia część </w:t>
      </w:r>
      <w:r w:rsidRPr="00773E48">
        <w:rPr>
          <w:rFonts w:ascii="Times New Roman" w:eastAsiaTheme="minorHAnsi" w:hAnsi="Times New Roman"/>
          <w:i/>
          <w:iCs/>
          <w:sz w:val="20"/>
          <w:lang w:eastAsia="en-US"/>
        </w:rPr>
        <w:t>Księgi Rodzaju</w:t>
      </w:r>
      <w:r w:rsidRPr="00773E48">
        <w:rPr>
          <w:rFonts w:ascii="Times New Roman" w:eastAsiaTheme="minorHAnsi" w:hAnsi="Times New Roman"/>
          <w:iCs/>
          <w:sz w:val="20"/>
          <w:lang w:eastAsia="en-US"/>
        </w:rPr>
        <w:t xml:space="preserve"> prowadzi nas do końca okresu patriarchalnego, zakończonego śmiercią Jakuba, a następnie śmiercią Józefa. Ród Jakuba znalazł się poza granicami Ziemi Obiecanej, w Egipcie. Ostatnie słowa księgi to „do trumny w Egipcie”. Wydaje się, że historia zbawienia nie będzie miała szczęśliwego zakończenia. A jednak to właśnie ta część księgi najbardziej jaśnieje nadzieją. Na horyzoncie wyłania się zarys Izraela jako ludu Bożego. Symboliczna liczba 70 określająca ród Jakuba (Rdz 46,27) zwraca uwagę czytelnika na duchowe przeznaczenie tego ludu. Jakub błogosławi swoich synów (Rdz 49,1-28) i</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przepowiada przyszłość dwunastu plemion Izraela oraz przyjście Mesjasza, który zbawi Izraela i narody (Rdz 49,10-12). Ostatnie słowa księgi mówiące o śmierci, w gruncie rzeczy wskazują przyszłe odkupienie - zapowiadają powrót do Ziemi Obiecanej w sposób nawiązujący do pierwszych słów </w:t>
      </w:r>
      <w:r w:rsidRPr="00773E48">
        <w:rPr>
          <w:rFonts w:ascii="Times New Roman" w:eastAsiaTheme="minorHAnsi" w:hAnsi="Times New Roman"/>
          <w:i/>
          <w:iCs/>
          <w:sz w:val="20"/>
          <w:lang w:eastAsia="en-US"/>
        </w:rPr>
        <w:t>Księgi Rodzaju</w:t>
      </w:r>
      <w:r w:rsidRPr="00773E48">
        <w:rPr>
          <w:rFonts w:ascii="Times New Roman" w:eastAsiaTheme="minorHAnsi" w:hAnsi="Times New Roman"/>
          <w:iCs/>
          <w:sz w:val="20"/>
          <w:lang w:eastAsia="en-US"/>
        </w:rPr>
        <w:t xml:space="preserve">, ukazujących stworzenie i założenie Edenu. Głęboką </w:t>
      </w:r>
      <w:proofErr w:type="spellStart"/>
      <w:r w:rsidRPr="00773E48">
        <w:rPr>
          <w:rFonts w:ascii="Times New Roman" w:eastAsiaTheme="minorHAnsi" w:hAnsi="Times New Roman"/>
          <w:iCs/>
          <w:sz w:val="20"/>
          <w:lang w:eastAsia="en-US"/>
        </w:rPr>
        <w:t>teologicvznązasadą</w:t>
      </w:r>
      <w:proofErr w:type="spellEnd"/>
      <w:r w:rsidRPr="00773E48">
        <w:rPr>
          <w:rFonts w:ascii="Times New Roman" w:eastAsiaTheme="minorHAnsi" w:hAnsi="Times New Roman"/>
          <w:iCs/>
          <w:sz w:val="20"/>
          <w:lang w:eastAsia="en-US"/>
        </w:rPr>
        <w:t xml:space="preserve"> jest, że Bóg zmienia zło w dobro (Rdz 50,20). Tę lekcję przekazał Józef swoim braciom, by dodać im pewności (Rdz 50,21) i, co ważniejsze, otworzyć ich oczy na Boże zbawienie świata (Rdz 50,20).</w:t>
      </w:r>
    </w:p>
    <w:p w14:paraId="17946177" w14:textId="77777777" w:rsidR="00D92CA4" w:rsidRPr="00773E48" w:rsidRDefault="00D92CA4" w:rsidP="00D92CA4">
      <w:pPr>
        <w:rPr>
          <w:rFonts w:ascii="Times New Roman" w:eastAsiaTheme="minorHAnsi" w:hAnsi="Times New Roman"/>
          <w:iCs/>
          <w:sz w:val="20"/>
          <w:lang w:eastAsia="en-US"/>
        </w:rPr>
      </w:pPr>
    </w:p>
    <w:p w14:paraId="326BD7FD" w14:textId="77777777" w:rsidR="00D92CA4" w:rsidRPr="00773E48" w:rsidRDefault="00D92CA4" w:rsidP="00D92CA4">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6E49E2DE" w14:textId="77777777" w:rsidR="00D92CA4" w:rsidRPr="00773E48" w:rsidRDefault="00D92CA4" w:rsidP="00D92CA4">
      <w:pPr>
        <w:rPr>
          <w:rFonts w:ascii="Times New Roman" w:eastAsiaTheme="minorHAnsi" w:hAnsi="Times New Roman"/>
          <w:sz w:val="20"/>
          <w:lang w:eastAsia="en-US"/>
        </w:rPr>
      </w:pPr>
    </w:p>
    <w:p w14:paraId="23915650"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Błogosławieństwo Jakuba</w:t>
      </w:r>
      <w:r w:rsidRPr="00773E48">
        <w:rPr>
          <w:rFonts w:ascii="Times New Roman" w:eastAsiaTheme="minorHAnsi" w:hAnsi="Times New Roman"/>
          <w:iCs/>
          <w:sz w:val="20"/>
          <w:lang w:eastAsia="en-US"/>
        </w:rPr>
        <w:t xml:space="preserve">. Abraham zgromadził wokół siebie swoich synów (Rdz 49,1-2) i pobłogosławił ich jednego po drugim, stosownie do kolejności narodzin, od najstarszego Rubena do najmłodszego Beniamina (Rdz 49,3-27). Te błogosławieństwa były właściwie proroctwami ukazującymi przyszłość plemion izraelskich (Rdz 49,1). Hebrajskie słowa </w:t>
      </w:r>
      <w:proofErr w:type="spellStart"/>
      <w:r w:rsidRPr="00773E48">
        <w:rPr>
          <w:rFonts w:ascii="Times New Roman" w:eastAsiaTheme="minorHAnsi" w:hAnsi="Times New Roman"/>
          <w:i/>
          <w:iCs/>
          <w:sz w:val="20"/>
          <w:lang w:eastAsia="en-US"/>
        </w:rPr>
        <w:t>be’akharit</w:t>
      </w:r>
      <w:proofErr w:type="spellEnd"/>
      <w:r w:rsidRPr="00773E48">
        <w:rPr>
          <w:rFonts w:ascii="Times New Roman" w:eastAsiaTheme="minorHAnsi" w:hAnsi="Times New Roman"/>
          <w:i/>
          <w:iCs/>
          <w:sz w:val="20"/>
          <w:lang w:eastAsia="en-US"/>
        </w:rPr>
        <w:t xml:space="preserve"> </w:t>
      </w:r>
      <w:proofErr w:type="spellStart"/>
      <w:r w:rsidRPr="00773E48">
        <w:rPr>
          <w:rFonts w:ascii="Times New Roman" w:eastAsiaTheme="minorHAnsi" w:hAnsi="Times New Roman"/>
          <w:i/>
          <w:iCs/>
          <w:sz w:val="20"/>
          <w:lang w:eastAsia="en-US"/>
        </w:rPr>
        <w:t>hajjamim</w:t>
      </w:r>
      <w:proofErr w:type="spellEnd"/>
      <w:r w:rsidRPr="00773E48">
        <w:rPr>
          <w:rFonts w:ascii="Times New Roman" w:eastAsiaTheme="minorHAnsi" w:hAnsi="Times New Roman"/>
          <w:iCs/>
          <w:sz w:val="20"/>
          <w:lang w:eastAsia="en-US"/>
        </w:rPr>
        <w:t>, „</w:t>
      </w:r>
      <w:r w:rsidRPr="00773E48">
        <w:rPr>
          <w:rFonts w:ascii="Times New Roman" w:eastAsiaTheme="minorHAnsi" w:hAnsi="Times New Roman"/>
          <w:color w:val="000000"/>
          <w:sz w:val="20"/>
          <w:lang w:eastAsia="en-US"/>
        </w:rPr>
        <w:t>w ostatnie dni</w:t>
      </w:r>
      <w:r w:rsidRPr="00773E48">
        <w:rPr>
          <w:rFonts w:ascii="Times New Roman" w:eastAsiaTheme="minorHAnsi" w:hAnsi="Times New Roman"/>
          <w:iCs/>
          <w:sz w:val="20"/>
          <w:lang w:eastAsia="en-US"/>
        </w:rPr>
        <w:t xml:space="preserve">” (Rdz 49,1 BG) to techniczne wyrażenie odnoszące się do nadejścia mesjańskiego króla i eschatologicznego </w:t>
      </w:r>
      <w:proofErr w:type="spellStart"/>
      <w:r w:rsidRPr="00773E48">
        <w:rPr>
          <w:rFonts w:ascii="Times New Roman" w:eastAsiaTheme="minorHAnsi" w:hAnsi="Times New Roman"/>
          <w:iCs/>
          <w:sz w:val="20"/>
          <w:lang w:eastAsia="en-US"/>
        </w:rPr>
        <w:t>zbawienai</w:t>
      </w:r>
      <w:proofErr w:type="spellEnd"/>
      <w:r w:rsidRPr="00773E48">
        <w:rPr>
          <w:rFonts w:ascii="Times New Roman" w:eastAsiaTheme="minorHAnsi" w:hAnsi="Times New Roman"/>
          <w:iCs/>
          <w:sz w:val="20"/>
          <w:lang w:eastAsia="en-US"/>
        </w:rPr>
        <w:t xml:space="preserve"> (Iz 2,2; </w:t>
      </w:r>
      <w:proofErr w:type="spellStart"/>
      <w:r w:rsidRPr="00773E48">
        <w:rPr>
          <w:rFonts w:ascii="Times New Roman" w:eastAsiaTheme="minorHAnsi" w:hAnsi="Times New Roman"/>
          <w:iCs/>
          <w:sz w:val="20"/>
          <w:lang w:eastAsia="en-US"/>
        </w:rPr>
        <w:t>Dn</w:t>
      </w:r>
      <w:proofErr w:type="spellEnd"/>
      <w:r w:rsidRPr="00773E48">
        <w:rPr>
          <w:rFonts w:ascii="Times New Roman" w:eastAsiaTheme="minorHAnsi" w:hAnsi="Times New Roman"/>
          <w:iCs/>
          <w:sz w:val="20"/>
          <w:lang w:eastAsia="en-US"/>
        </w:rPr>
        <w:t> 10,14). Tekst błogosławieństwa Jakuba, od pierwszego syna, Rubena, po ostatniego, Beniamina, jest więc pełen profetyczno-eschatologicznego napięcia.</w:t>
      </w:r>
    </w:p>
    <w:p w14:paraId="19A8F1B0"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Cs/>
          <w:sz w:val="20"/>
          <w:lang w:eastAsia="en-US"/>
        </w:rPr>
        <w:t xml:space="preserve">Jest to trzeci przypadek w </w:t>
      </w:r>
      <w:r w:rsidRPr="00773E48">
        <w:rPr>
          <w:rFonts w:ascii="Times New Roman" w:eastAsiaTheme="minorHAnsi" w:hAnsi="Times New Roman"/>
          <w:i/>
          <w:iCs/>
          <w:sz w:val="20"/>
          <w:lang w:eastAsia="en-US"/>
        </w:rPr>
        <w:t>Księdze Rodzaju</w:t>
      </w:r>
      <w:r w:rsidRPr="00773E48">
        <w:rPr>
          <w:rFonts w:ascii="Times New Roman" w:eastAsiaTheme="minorHAnsi" w:hAnsi="Times New Roman"/>
          <w:iCs/>
          <w:sz w:val="20"/>
          <w:lang w:eastAsia="en-US"/>
        </w:rPr>
        <w:t>, kiedy błogosławieństwo jest adresowane do grupy osób. Pierwsze zbiorowe błogosławieństwo zostało udzielone Adamowi i Ewie (Rdz 1,28). Drugie to błogosławieństwo Noego dla jego trzech synów (Rdz 9,24-27). Błogosławieństwo Jakuba wiąże się bardziej z błogosławieństwem Noego, jako że jest błogosławieństwem ojcowskim zawierającym także negatywne aspekty. Oba błogosławieństwa są też dość precyzyjnymi proroctwami odkrywającymi przyszłość synów i ich potomków. Oba błogosławieństwa przypadają na początku nowej ery i oba wyznaczają pierwszy etap nowego rodu. Tak więc błogosławieństwo Izraela ma ogólnoświatowy zasięg. Błogosławieństwo kończy się nawiązaniem do „dwunastu plemion Izraela” (Rdz 49,28). Jest to pierwsza biblijna wzmianka o „dwunastu plemionach”. Najwyraźniej błogosławieństwo to zapowiada przeznaczenie całego Izraela, z jego upadkami i wzlotami (por. Rdz 49,1).</w:t>
      </w:r>
    </w:p>
    <w:p w14:paraId="014CB061" w14:textId="77777777" w:rsidR="00D92CA4" w:rsidRPr="00773E48" w:rsidRDefault="00D92CA4" w:rsidP="00D92CA4">
      <w:pPr>
        <w:rPr>
          <w:rFonts w:ascii="Times New Roman" w:eastAsiaTheme="minorHAnsi" w:hAnsi="Times New Roman"/>
          <w:iCs/>
          <w:sz w:val="20"/>
          <w:lang w:eastAsia="en-US"/>
        </w:rPr>
      </w:pPr>
    </w:p>
    <w:p w14:paraId="761718A1" w14:textId="1DCFBE8D" w:rsidR="00D92CA4" w:rsidRPr="00773E48" w:rsidRDefault="00D92CA4" w:rsidP="00D92CA4">
      <w:pPr>
        <w:rPr>
          <w:rFonts w:ascii="Times New Roman" w:eastAsiaTheme="minorHAnsi" w:hAnsi="Times New Roman"/>
          <w:color w:val="000000"/>
          <w:sz w:val="20"/>
          <w:lang w:eastAsia="en-US"/>
        </w:rPr>
      </w:pPr>
      <w:r w:rsidRPr="00773E48">
        <w:rPr>
          <w:rFonts w:ascii="Times New Roman" w:eastAsiaTheme="minorHAnsi" w:hAnsi="Times New Roman"/>
          <w:i/>
          <w:iCs/>
          <w:sz w:val="20"/>
          <w:lang w:eastAsia="en-US"/>
        </w:rPr>
        <w:t>Przyjście Mesjasza</w:t>
      </w:r>
      <w:r w:rsidRPr="00773E48">
        <w:rPr>
          <w:rFonts w:ascii="Times New Roman" w:eastAsiaTheme="minorHAnsi" w:hAnsi="Times New Roman"/>
          <w:iCs/>
          <w:sz w:val="20"/>
          <w:lang w:eastAsia="en-US"/>
        </w:rPr>
        <w:t>. Słowa użyte w tekście błogosławieństwa - „berło”, „prawodawca” - wskazują, że to raczej król a nie plemię jest obiektem proroctwa. Werset ten, Rdz 49,10, znajduje także odzwierciedlenie w</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proroctwie </w:t>
      </w:r>
      <w:proofErr w:type="spellStart"/>
      <w:r w:rsidRPr="00773E48">
        <w:rPr>
          <w:rFonts w:ascii="Times New Roman" w:eastAsiaTheme="minorHAnsi" w:hAnsi="Times New Roman"/>
          <w:iCs/>
          <w:sz w:val="20"/>
          <w:lang w:eastAsia="en-US"/>
        </w:rPr>
        <w:t>Bielama</w:t>
      </w:r>
      <w:proofErr w:type="spellEnd"/>
      <w:r w:rsidRPr="00773E48">
        <w:rPr>
          <w:rFonts w:ascii="Times New Roman" w:eastAsiaTheme="minorHAnsi" w:hAnsi="Times New Roman"/>
          <w:iCs/>
          <w:sz w:val="20"/>
          <w:lang w:eastAsia="en-US"/>
        </w:rPr>
        <w:t xml:space="preserve"> (Lb 24,17). Gwiazda z Jakuba w proroctwie </w:t>
      </w:r>
      <w:proofErr w:type="spellStart"/>
      <w:r w:rsidRPr="00773E48">
        <w:rPr>
          <w:rFonts w:ascii="Times New Roman" w:eastAsiaTheme="minorHAnsi" w:hAnsi="Times New Roman"/>
          <w:iCs/>
          <w:sz w:val="20"/>
          <w:lang w:eastAsia="en-US"/>
        </w:rPr>
        <w:t>Bileama</w:t>
      </w:r>
      <w:proofErr w:type="spellEnd"/>
      <w:r w:rsidRPr="00773E48">
        <w:rPr>
          <w:rFonts w:ascii="Times New Roman" w:eastAsiaTheme="minorHAnsi" w:hAnsi="Times New Roman"/>
          <w:iCs/>
          <w:sz w:val="20"/>
          <w:lang w:eastAsia="en-US"/>
        </w:rPr>
        <w:t xml:space="preserve"> odpowiada lwu z Judy w proroctwie Jakuba. Ponadto fragment ten wskazuje doczesny element tego przywództwa (Rdz 49,10). Przyjście Mesjasza jest osadzone w historii Izraela. Jednak przysłowiowy spójnik </w:t>
      </w:r>
      <w:r w:rsidRPr="00773E48">
        <w:rPr>
          <w:rFonts w:ascii="Times New Roman" w:eastAsiaTheme="minorHAnsi" w:hAnsi="Times New Roman"/>
          <w:i/>
          <w:iCs/>
          <w:sz w:val="20"/>
          <w:lang w:eastAsia="en-US"/>
        </w:rPr>
        <w:t>‘ad ki</w:t>
      </w:r>
      <w:r w:rsidRPr="00773E48">
        <w:rPr>
          <w:rFonts w:ascii="Times New Roman" w:eastAsiaTheme="minorHAnsi" w:hAnsi="Times New Roman"/>
          <w:iCs/>
          <w:sz w:val="20"/>
          <w:lang w:eastAsia="en-US"/>
        </w:rPr>
        <w:t xml:space="preserve">, „aż” w wyrażeniu „aż przyjdzie władca” znaczy coś więcej niż czas przybycia. Hebrajskie </w:t>
      </w:r>
      <w:r w:rsidRPr="00773E48">
        <w:rPr>
          <w:rFonts w:ascii="Times New Roman" w:eastAsiaTheme="minorHAnsi" w:hAnsi="Times New Roman"/>
          <w:i/>
          <w:iCs/>
          <w:sz w:val="20"/>
          <w:lang w:eastAsia="en-US"/>
        </w:rPr>
        <w:t>‘ad ki</w:t>
      </w:r>
      <w:r w:rsidRPr="00773E48">
        <w:rPr>
          <w:rFonts w:ascii="Times New Roman" w:eastAsiaTheme="minorHAnsi" w:hAnsi="Times New Roman"/>
          <w:iCs/>
          <w:sz w:val="20"/>
          <w:lang w:eastAsia="en-US"/>
        </w:rPr>
        <w:t xml:space="preserve"> niekoniecznie odnosi się do końca, ale raczej do spełnienia czy kulminacji, wyrażając </w:t>
      </w:r>
      <w:proofErr w:type="spellStart"/>
      <w:r w:rsidRPr="00773E48">
        <w:rPr>
          <w:rFonts w:ascii="Times New Roman" w:eastAsiaTheme="minorHAnsi" w:hAnsi="Times New Roman"/>
          <w:iCs/>
          <w:sz w:val="20"/>
          <w:lang w:eastAsia="en-US"/>
        </w:rPr>
        <w:t>superlatywę</w:t>
      </w:r>
      <w:proofErr w:type="spellEnd"/>
      <w:r w:rsidRPr="00773E48">
        <w:rPr>
          <w:rFonts w:ascii="Times New Roman" w:eastAsiaTheme="minorHAnsi" w:hAnsi="Times New Roman"/>
          <w:iCs/>
          <w:sz w:val="20"/>
          <w:lang w:eastAsia="en-US"/>
        </w:rPr>
        <w:t xml:space="preserve"> (Rdz 26,13; 41,19). To znaczy, że królowanie Judy osiągnie kulminację wraz z przyjściem „Władcy”. Uniwersalny wymiar tej Osoby jasno wynika z kolejnych słów: „J</w:t>
      </w:r>
      <w:r w:rsidRPr="00773E48">
        <w:rPr>
          <w:rFonts w:ascii="Times New Roman" w:eastAsiaTheme="minorHAnsi" w:hAnsi="Times New Roman"/>
          <w:color w:val="000000"/>
          <w:sz w:val="20"/>
          <w:lang w:eastAsia="en-US"/>
        </w:rPr>
        <w:t>emu będą posłuszne narody</w:t>
      </w:r>
      <w:r w:rsidRPr="00773E48">
        <w:rPr>
          <w:rFonts w:ascii="Times New Roman" w:eastAsiaTheme="minorHAnsi" w:hAnsi="Times New Roman"/>
          <w:iCs/>
          <w:sz w:val="20"/>
          <w:lang w:eastAsia="en-US"/>
        </w:rPr>
        <w:t xml:space="preserve">” (Rdz 49,10). Zwróć uwagę, że słowo „narody” (hebr. </w:t>
      </w:r>
      <w:r w:rsidRPr="00773E48">
        <w:rPr>
          <w:rFonts w:ascii="Times New Roman" w:eastAsiaTheme="minorHAnsi" w:hAnsi="Times New Roman"/>
          <w:i/>
          <w:iCs/>
          <w:sz w:val="20"/>
          <w:lang w:eastAsia="en-US"/>
        </w:rPr>
        <w:t>‘</w:t>
      </w:r>
      <w:proofErr w:type="spellStart"/>
      <w:r w:rsidRPr="00773E48">
        <w:rPr>
          <w:rFonts w:ascii="Times New Roman" w:eastAsiaTheme="minorHAnsi" w:hAnsi="Times New Roman"/>
          <w:i/>
          <w:iCs/>
          <w:sz w:val="20"/>
          <w:lang w:eastAsia="en-US"/>
        </w:rPr>
        <w:t>amim</w:t>
      </w:r>
      <w:proofErr w:type="spellEnd"/>
      <w:r w:rsidRPr="00773E48">
        <w:rPr>
          <w:rFonts w:ascii="Times New Roman" w:eastAsiaTheme="minorHAnsi" w:hAnsi="Times New Roman"/>
          <w:sz w:val="20"/>
          <w:lang w:eastAsia="en-US"/>
        </w:rPr>
        <w:t xml:space="preserve">) </w:t>
      </w:r>
      <w:r w:rsidRPr="00773E48">
        <w:rPr>
          <w:rFonts w:ascii="Times New Roman" w:eastAsiaTheme="minorHAnsi" w:hAnsi="Times New Roman"/>
          <w:iCs/>
          <w:sz w:val="20"/>
          <w:lang w:eastAsia="en-US"/>
        </w:rPr>
        <w:t xml:space="preserve">występuje w liczbie mnogiej. Uniwersalna funkcja Władcy, któremu będą posłuszne „narody”, sugeruje postać mesjańską o nadprzyrodzonym pochodzeniu. Słowo </w:t>
      </w:r>
      <w:proofErr w:type="spellStart"/>
      <w:r w:rsidRPr="00773E48">
        <w:rPr>
          <w:rFonts w:ascii="Times New Roman" w:eastAsiaTheme="minorHAnsi" w:hAnsi="Times New Roman"/>
          <w:i/>
          <w:iCs/>
          <w:sz w:val="20"/>
          <w:lang w:eastAsia="en-US"/>
        </w:rPr>
        <w:t>Szylo</w:t>
      </w:r>
      <w:proofErr w:type="spellEnd"/>
      <w:r w:rsidRPr="00773E48">
        <w:rPr>
          <w:rFonts w:ascii="Times New Roman" w:eastAsiaTheme="minorHAnsi" w:hAnsi="Times New Roman"/>
          <w:iCs/>
          <w:sz w:val="20"/>
          <w:lang w:eastAsia="en-US"/>
        </w:rPr>
        <w:t xml:space="preserve"> jest imieniem, co wskazuje jego paralelność do imienia Judy. To hebrajskie słowo jest kojarzone hebrajskimi słowami </w:t>
      </w:r>
      <w:proofErr w:type="spellStart"/>
      <w:r w:rsidRPr="00773E48">
        <w:rPr>
          <w:rFonts w:ascii="Times New Roman" w:eastAsiaTheme="minorHAnsi" w:hAnsi="Times New Roman"/>
          <w:i/>
          <w:iCs/>
          <w:sz w:val="20"/>
          <w:lang w:eastAsia="en-US"/>
        </w:rPr>
        <w:t>shaluah</w:t>
      </w:r>
      <w:proofErr w:type="spellEnd"/>
      <w:r w:rsidRPr="00773E48">
        <w:rPr>
          <w:rFonts w:ascii="Times New Roman" w:eastAsiaTheme="minorHAnsi" w:hAnsi="Times New Roman"/>
          <w:iCs/>
          <w:sz w:val="20"/>
          <w:lang w:eastAsia="en-US"/>
        </w:rPr>
        <w:t xml:space="preserve"> lub</w:t>
      </w:r>
      <w:r w:rsidRPr="00773E48">
        <w:rPr>
          <w:rFonts w:ascii="Times New Roman" w:eastAsiaTheme="minorHAnsi" w:hAnsi="Times New Roman"/>
          <w:i/>
          <w:iCs/>
          <w:sz w:val="20"/>
          <w:lang w:eastAsia="en-US"/>
        </w:rPr>
        <w:t xml:space="preserve"> szalom</w:t>
      </w:r>
      <w:r w:rsidRPr="00773E48">
        <w:rPr>
          <w:rFonts w:ascii="Times New Roman" w:eastAsiaTheme="minorHAnsi" w:hAnsi="Times New Roman"/>
          <w:iCs/>
          <w:sz w:val="20"/>
          <w:lang w:eastAsia="en-US"/>
        </w:rPr>
        <w:t>, „pokój”, jako synonimami (</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122,7). Taka interpretacja znajduje potwierdzenie w najstarszych źródłach judaistycznych i chrześcijańskich, a jednocześnie pasuje do kontekstu fragmentu (Rdz 49,11), który łączy przyjście tego władcy z panowaniem pokoju (por. Iz 9,5-6; Mi 5,5; Ef 2,14). Ostatnie dwa wersety błogosławieństwa Jakuba dla Judy (Rdz 49,11-12) opisują charakter i misję Mesjasza. Hebrajskie słowo tłumaczone jako „osioł” odnosi się zazwyczaj do osła używanego do jazdy (</w:t>
      </w:r>
      <w:proofErr w:type="spellStart"/>
      <w:r w:rsidRPr="00773E48">
        <w:rPr>
          <w:rFonts w:ascii="Times New Roman" w:eastAsiaTheme="minorHAnsi" w:hAnsi="Times New Roman"/>
          <w:iCs/>
          <w:sz w:val="20"/>
          <w:lang w:eastAsia="en-US"/>
        </w:rPr>
        <w:t>Sdz</w:t>
      </w:r>
      <w:proofErr w:type="spellEnd"/>
      <w:r w:rsidRPr="00773E48">
        <w:rPr>
          <w:rFonts w:ascii="Times New Roman" w:eastAsiaTheme="minorHAnsi" w:hAnsi="Times New Roman"/>
          <w:iCs/>
          <w:sz w:val="20"/>
          <w:lang w:eastAsia="en-US"/>
        </w:rPr>
        <w:t> 10,4). Osioł kojarzy się z pokojem i pokorą (w przeciwieństwie do konia, którzy sugeruje wojnę i pychę [</w:t>
      </w:r>
      <w:proofErr w:type="spellStart"/>
      <w:r w:rsidRPr="00773E48">
        <w:rPr>
          <w:rFonts w:ascii="Times New Roman" w:eastAsiaTheme="minorHAnsi" w:hAnsi="Times New Roman"/>
          <w:iCs/>
          <w:sz w:val="20"/>
          <w:lang w:eastAsia="en-US"/>
        </w:rPr>
        <w:t>Prz</w:t>
      </w:r>
      <w:proofErr w:type="spellEnd"/>
      <w:r w:rsidRPr="00773E48">
        <w:rPr>
          <w:rFonts w:ascii="Times New Roman" w:eastAsiaTheme="minorHAnsi" w:hAnsi="Times New Roman"/>
          <w:iCs/>
          <w:sz w:val="20"/>
          <w:lang w:eastAsia="en-US"/>
        </w:rPr>
        <w:t xml:space="preserve"> 21,31]). To samo skojarzenie królowania i uniżenia jest użyte przez Zachariasza w opisie „uniżonego” Króla z rodu Dawida </w:t>
      </w:r>
      <w:r w:rsidRPr="00773E48">
        <w:rPr>
          <w:rFonts w:ascii="Times New Roman" w:eastAsiaTheme="minorHAnsi" w:hAnsi="Times New Roman"/>
          <w:iCs/>
          <w:sz w:val="20"/>
          <w:lang w:eastAsia="en-US"/>
        </w:rPr>
        <w:lastRenderedPageBreak/>
        <w:t>jadącego na osiołku (Za 9,9) i będzie panował nad całym światem, „</w:t>
      </w:r>
      <w:r w:rsidRPr="00773E48">
        <w:rPr>
          <w:rFonts w:ascii="Times New Roman" w:eastAsiaTheme="minorHAnsi" w:hAnsi="Times New Roman"/>
          <w:color w:val="000000"/>
          <w:sz w:val="20"/>
          <w:lang w:eastAsia="en-US"/>
        </w:rPr>
        <w:t xml:space="preserve">od morza do morza (...) aż po krańce ziemi” </w:t>
      </w:r>
      <w:r w:rsidRPr="00773E48">
        <w:rPr>
          <w:rFonts w:ascii="Times New Roman" w:eastAsiaTheme="minorHAnsi" w:hAnsi="Times New Roman"/>
          <w:iCs/>
          <w:sz w:val="20"/>
          <w:lang w:eastAsia="en-US"/>
        </w:rPr>
        <w:t>(Za 9,10)</w:t>
      </w:r>
      <w:r w:rsidRPr="00773E48">
        <w:rPr>
          <w:rFonts w:ascii="Times New Roman" w:eastAsiaTheme="minorHAnsi" w:hAnsi="Times New Roman"/>
          <w:color w:val="000000"/>
          <w:sz w:val="20"/>
          <w:lang w:eastAsia="en-US"/>
        </w:rPr>
        <w:t xml:space="preserve">. Ten obraz przypomina nam Salomona, który jechał na mule swojego ojca, by zaznaczyć, że został namaszczony jako prawdziwy dziedzic tronu Dawida </w:t>
      </w:r>
      <w:r w:rsidRPr="00773E48">
        <w:rPr>
          <w:rFonts w:ascii="Times New Roman" w:eastAsiaTheme="minorHAnsi" w:hAnsi="Times New Roman"/>
          <w:iCs/>
          <w:sz w:val="20"/>
          <w:lang w:eastAsia="en-US"/>
        </w:rPr>
        <w:t>(1 </w:t>
      </w:r>
      <w:proofErr w:type="spellStart"/>
      <w:r w:rsidRPr="00773E48">
        <w:rPr>
          <w:rFonts w:ascii="Times New Roman" w:eastAsiaTheme="minorHAnsi" w:hAnsi="Times New Roman"/>
          <w:iCs/>
          <w:sz w:val="20"/>
          <w:lang w:eastAsia="en-US"/>
        </w:rPr>
        <w:t>Krl</w:t>
      </w:r>
      <w:proofErr w:type="spellEnd"/>
      <w:r w:rsidRPr="00773E48">
        <w:rPr>
          <w:rFonts w:ascii="Times New Roman" w:eastAsiaTheme="minorHAnsi" w:hAnsi="Times New Roman"/>
          <w:iCs/>
          <w:sz w:val="20"/>
          <w:lang w:eastAsia="en-US"/>
        </w:rPr>
        <w:t> 1,38-48)</w:t>
      </w:r>
      <w:r w:rsidRPr="00773E48">
        <w:rPr>
          <w:rFonts w:ascii="Times New Roman" w:eastAsiaTheme="minorHAnsi" w:hAnsi="Times New Roman"/>
          <w:color w:val="000000"/>
          <w:sz w:val="20"/>
          <w:lang w:eastAsia="en-US"/>
        </w:rPr>
        <w:t xml:space="preserve">. Podobnie Jezus jadący na osiołku wskazuje na tę tradycję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Mk</w:t>
      </w:r>
      <w:proofErr w:type="spellEnd"/>
      <w:r w:rsidRPr="00773E48">
        <w:rPr>
          <w:rFonts w:ascii="Times New Roman" w:eastAsiaTheme="minorHAnsi" w:hAnsi="Times New Roman"/>
          <w:iCs/>
          <w:sz w:val="20"/>
          <w:lang w:eastAsia="en-US"/>
        </w:rPr>
        <w:t> 11,2-11)</w:t>
      </w:r>
      <w:r w:rsidRPr="00773E48">
        <w:rPr>
          <w:rFonts w:ascii="Times New Roman" w:eastAsiaTheme="minorHAnsi" w:hAnsi="Times New Roman"/>
          <w:color w:val="000000"/>
          <w:sz w:val="20"/>
          <w:lang w:eastAsia="en-US"/>
        </w:rPr>
        <w:t>.</w:t>
      </w:r>
    </w:p>
    <w:p w14:paraId="6F18DCCF" w14:textId="09090BA3"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Cs/>
          <w:sz w:val="20"/>
          <w:lang w:eastAsia="en-US"/>
        </w:rPr>
        <w:t>Pozostałe obrazy „wina” i „mleka” i ich kolory - czerwony/oczy i biały/zęby - przywołują obfite życie, pokój i bezpieczeństwo, które będą panować w Ziemi Obiecanej (Lb 13,23.27). Odwołanie do oczu i zębów w</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tym kontekście nawiązującym do pełni radości sugeruje intensywność życia i pełnię pokoju cechujące mesjańskie królestwo.</w:t>
      </w:r>
    </w:p>
    <w:p w14:paraId="27DBF467" w14:textId="77777777" w:rsidR="00D92CA4" w:rsidRPr="00773E48" w:rsidRDefault="00D92CA4" w:rsidP="00D92CA4">
      <w:pPr>
        <w:rPr>
          <w:rFonts w:ascii="Times New Roman" w:eastAsiaTheme="minorHAnsi" w:hAnsi="Times New Roman"/>
          <w:iCs/>
          <w:sz w:val="20"/>
          <w:lang w:eastAsia="en-US"/>
        </w:rPr>
      </w:pPr>
    </w:p>
    <w:p w14:paraId="3C3BC8FE" w14:textId="75DBAC9D"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Od zła do dobra</w:t>
      </w:r>
      <w:r w:rsidRPr="00773E48">
        <w:rPr>
          <w:rFonts w:ascii="Times New Roman" w:eastAsiaTheme="minorHAnsi" w:hAnsi="Times New Roman"/>
          <w:iCs/>
          <w:sz w:val="20"/>
          <w:lang w:eastAsia="en-US"/>
        </w:rPr>
        <w:t>. Kiedy bracia Józefa przyszli do niego, by prosić o przebaczenie (Rdz 50,17), Józef zapewnił ich, że nie uczyni im nic złego. Jego słowa: „</w:t>
      </w:r>
      <w:r w:rsidRPr="00773E48">
        <w:rPr>
          <w:rFonts w:ascii="Times New Roman" w:eastAsiaTheme="minorHAnsi" w:hAnsi="Times New Roman"/>
          <w:color w:val="000000"/>
          <w:sz w:val="20"/>
          <w:lang w:eastAsia="en-US"/>
        </w:rPr>
        <w:t>Nie bójcie się!</w:t>
      </w:r>
      <w:r w:rsidRPr="00773E48">
        <w:rPr>
          <w:rFonts w:ascii="Times New Roman" w:eastAsiaTheme="minorHAnsi" w:hAnsi="Times New Roman"/>
          <w:iCs/>
          <w:sz w:val="20"/>
          <w:lang w:eastAsia="en-US"/>
        </w:rPr>
        <w:t>” (Rdz 50,19), są echem słów Boga zapewniającego Abrahama o świetlanej przyszłości jego potomków (Rdz 15,1). Aby uwierzyli jego zapewnieniu, Józef przypomniał im, że on też jest tylko człowiekiem: „</w:t>
      </w:r>
      <w:r w:rsidRPr="00773E48">
        <w:rPr>
          <w:rFonts w:ascii="Times New Roman" w:eastAsiaTheme="minorHAnsi" w:hAnsi="Times New Roman"/>
          <w:color w:val="000000"/>
          <w:sz w:val="20"/>
          <w:lang w:eastAsia="en-US"/>
        </w:rPr>
        <w:t>Czyż ja jestem na miejscu Boga?</w:t>
      </w:r>
      <w:r w:rsidRPr="00773E48">
        <w:rPr>
          <w:rFonts w:ascii="Times New Roman" w:eastAsiaTheme="minorHAnsi" w:hAnsi="Times New Roman"/>
          <w:iCs/>
          <w:sz w:val="20"/>
          <w:lang w:eastAsia="en-US"/>
        </w:rPr>
        <w:t>” (Rdz 50,19). Jakub zwrócił się takimi samymi słowami do Racheli, kiedy skarżyła się, że nie ma dzieci (Rdz 30,2). Jednak w</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przypadku Józefa słowa te miały inne znaczenie. Podczas gdy dla Jakuba słowa te były wyrazem jego gniewu, dla Józefa te same słowa wyrażały miłość do braci i miały uśmierzyć ich obawy.</w:t>
      </w:r>
    </w:p>
    <w:p w14:paraId="5C9A8D3E"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Cs/>
          <w:sz w:val="20"/>
          <w:lang w:eastAsia="en-US"/>
        </w:rPr>
        <w:t>Kiedy Józef niespodziewanie nawiązał do Boga, wskazał, że Boże przebaczenie znajduje odzwierciedlenie w ludzkim przebaczeniu. Józef nawet do zdradzieckiej postawy braci odniósł się jako do mechanizmu tego przebaczenia - oni „knuli zło”, ale „</w:t>
      </w:r>
      <w:r w:rsidRPr="00773E48">
        <w:rPr>
          <w:rFonts w:ascii="Times New Roman" w:eastAsiaTheme="minorHAnsi" w:hAnsi="Times New Roman"/>
          <w:color w:val="000000"/>
          <w:sz w:val="20"/>
          <w:lang w:eastAsia="en-US"/>
        </w:rPr>
        <w:t>Bóg obrócił to w dobro</w:t>
      </w:r>
      <w:r w:rsidRPr="00773E48">
        <w:rPr>
          <w:rFonts w:ascii="Times New Roman" w:eastAsiaTheme="minorHAnsi" w:hAnsi="Times New Roman"/>
          <w:iCs/>
          <w:sz w:val="20"/>
          <w:lang w:eastAsia="en-US"/>
        </w:rPr>
        <w:t>” (Rdz 50,20). To, co zrobili jego bracia, i co słusznie uznali jako „złe”, okazało się służyć „zachowaniu przy życiu licznego ludu” (Rdz 50,20). Józef nie zadowolił się przebaczeniem. Postawił sobie za cel wymazanie poczucia winy jego braci, skoro ich zły czyn wyszedł na dobre. Mogli teraz stanąć przed nim z podniesionym czołem i śmiało patrzeć w przyszłość. Józef zapewnił ich tymi słowami, które uwzględniały także przyszłość: „</w:t>
      </w:r>
      <w:r w:rsidRPr="00773E48">
        <w:rPr>
          <w:rFonts w:ascii="Times New Roman" w:eastAsiaTheme="minorHAnsi" w:hAnsi="Times New Roman"/>
          <w:color w:val="000000"/>
          <w:sz w:val="20"/>
          <w:lang w:eastAsia="en-US"/>
        </w:rPr>
        <w:t>Nie bójcie się więc</w:t>
      </w:r>
      <w:r w:rsidRPr="00773E48">
        <w:rPr>
          <w:rFonts w:ascii="Times New Roman" w:eastAsiaTheme="minorHAnsi" w:hAnsi="Times New Roman"/>
          <w:iCs/>
          <w:sz w:val="20"/>
          <w:lang w:eastAsia="en-US"/>
        </w:rPr>
        <w:t>” (Rdz 50,21; por. Rdz 50,19) i dodał obietnicę, iż zatroszczy się także o ich dzieci.</w:t>
      </w:r>
    </w:p>
    <w:p w14:paraId="30295C9D" w14:textId="77777777" w:rsidR="00D92CA4" w:rsidRPr="00773E48" w:rsidRDefault="00D92CA4" w:rsidP="00D92CA4">
      <w:pPr>
        <w:rPr>
          <w:rFonts w:ascii="Times New Roman" w:eastAsiaTheme="minorHAnsi" w:hAnsi="Times New Roman"/>
          <w:iCs/>
          <w:sz w:val="20"/>
          <w:lang w:eastAsia="en-US"/>
        </w:rPr>
      </w:pPr>
    </w:p>
    <w:p w14:paraId="3DD2CBC0"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Zbawienie dla świata</w:t>
      </w:r>
      <w:r w:rsidRPr="00773E48">
        <w:rPr>
          <w:rFonts w:ascii="Times New Roman" w:eastAsiaTheme="minorHAnsi" w:hAnsi="Times New Roman"/>
          <w:iCs/>
          <w:sz w:val="20"/>
          <w:lang w:eastAsia="en-US"/>
        </w:rPr>
        <w:t xml:space="preserve">. Podczas gdy tekst wspomina pogrzeb Jakuba, ale nie mówi nic o trumnie (Rdz 49,29), ciało Józefa zostało złożone w trumnie, ale nie zostało pochowane (Rdz 50,26). Józef został zabalsamowany, ale nie pochowano go, gdyż jego wolą było, by kiedyś zabrano jego zwłoki do Ziemi Obiecanej. Tak więc zgodnie z jego życzeniem jego trumna nie została złożona w grobie. Izraelici wracający do </w:t>
      </w:r>
      <w:proofErr w:type="spellStart"/>
      <w:r w:rsidRPr="00773E48">
        <w:rPr>
          <w:rFonts w:ascii="Times New Roman" w:eastAsiaTheme="minorHAnsi" w:hAnsi="Times New Roman"/>
          <w:iCs/>
          <w:sz w:val="20"/>
          <w:lang w:eastAsia="en-US"/>
        </w:rPr>
        <w:t>Kanaanu</w:t>
      </w:r>
      <w:proofErr w:type="spellEnd"/>
      <w:r w:rsidRPr="00773E48">
        <w:rPr>
          <w:rFonts w:ascii="Times New Roman" w:eastAsiaTheme="minorHAnsi" w:hAnsi="Times New Roman"/>
          <w:iCs/>
          <w:sz w:val="20"/>
          <w:lang w:eastAsia="en-US"/>
        </w:rPr>
        <w:t xml:space="preserve"> mieli ją zabrać ze sobą. Tak więc „z</w:t>
      </w:r>
      <w:r w:rsidRPr="00773E48">
        <w:rPr>
          <w:rFonts w:ascii="Times New Roman" w:eastAsiaTheme="minorHAnsi" w:hAnsi="Times New Roman"/>
          <w:color w:val="000000"/>
          <w:sz w:val="20"/>
          <w:lang w:eastAsia="en-US"/>
        </w:rPr>
        <w:t>abalsamowano go i włożono do trumny w Egipcie</w:t>
      </w:r>
      <w:r w:rsidRPr="00773E48">
        <w:rPr>
          <w:rFonts w:ascii="Times New Roman" w:eastAsiaTheme="minorHAnsi" w:hAnsi="Times New Roman"/>
          <w:iCs/>
          <w:sz w:val="20"/>
          <w:lang w:eastAsia="en-US"/>
        </w:rPr>
        <w:t xml:space="preserve">” (Rdz 50,26). W oryginale użyty został rodzajnik określony </w:t>
      </w:r>
      <w:proofErr w:type="spellStart"/>
      <w:r w:rsidRPr="00773E48">
        <w:rPr>
          <w:rFonts w:ascii="Times New Roman" w:eastAsiaTheme="minorHAnsi" w:hAnsi="Times New Roman"/>
          <w:i/>
          <w:iCs/>
          <w:sz w:val="20"/>
          <w:lang w:eastAsia="en-US"/>
        </w:rPr>
        <w:t>ba’aron</w:t>
      </w:r>
      <w:proofErr w:type="spellEnd"/>
      <w:r w:rsidRPr="00773E48">
        <w:rPr>
          <w:rFonts w:ascii="Times New Roman" w:eastAsiaTheme="minorHAnsi" w:hAnsi="Times New Roman"/>
          <w:iCs/>
          <w:sz w:val="20"/>
          <w:lang w:eastAsia="en-US"/>
        </w:rPr>
        <w:t>, co znaczy dosłownie „do tej trumny”, co podkreśla, że trumna ta nie została pochowana.</w:t>
      </w:r>
    </w:p>
    <w:p w14:paraId="5ADF60FC"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Cs/>
          <w:sz w:val="20"/>
          <w:lang w:eastAsia="en-US"/>
        </w:rPr>
        <w:t xml:space="preserve">Tak więc </w:t>
      </w:r>
      <w:r w:rsidRPr="00773E48">
        <w:rPr>
          <w:rFonts w:ascii="Times New Roman" w:eastAsiaTheme="minorHAnsi" w:hAnsi="Times New Roman"/>
          <w:i/>
          <w:iCs/>
          <w:sz w:val="20"/>
          <w:lang w:eastAsia="en-US"/>
        </w:rPr>
        <w:t>Księga Rodzaju</w:t>
      </w:r>
      <w:r w:rsidRPr="00773E48">
        <w:rPr>
          <w:rFonts w:ascii="Times New Roman" w:eastAsiaTheme="minorHAnsi" w:hAnsi="Times New Roman"/>
          <w:iCs/>
          <w:sz w:val="20"/>
          <w:lang w:eastAsia="en-US"/>
        </w:rPr>
        <w:t xml:space="preserve"> kończy się w taki sam sposób jak cały </w:t>
      </w:r>
      <w:r w:rsidRPr="00773E48">
        <w:rPr>
          <w:rFonts w:ascii="Times New Roman" w:eastAsiaTheme="minorHAnsi" w:hAnsi="Times New Roman"/>
          <w:i/>
          <w:iCs/>
          <w:sz w:val="20"/>
          <w:lang w:eastAsia="en-US"/>
        </w:rPr>
        <w:t>Pięcioksiąg</w:t>
      </w:r>
      <w:r w:rsidRPr="00773E48">
        <w:rPr>
          <w:rFonts w:ascii="Times New Roman" w:eastAsiaTheme="minorHAnsi" w:hAnsi="Times New Roman"/>
          <w:iCs/>
          <w:sz w:val="20"/>
          <w:lang w:eastAsia="en-US"/>
        </w:rPr>
        <w:t xml:space="preserve"> - śmiercią, ale nie grobem (</w:t>
      </w:r>
      <w:proofErr w:type="spellStart"/>
      <w:r w:rsidRPr="00773E48">
        <w:rPr>
          <w:rFonts w:ascii="Times New Roman" w:eastAsiaTheme="minorHAnsi" w:hAnsi="Times New Roman"/>
          <w:iCs/>
          <w:sz w:val="20"/>
          <w:lang w:eastAsia="en-US"/>
        </w:rPr>
        <w:t>Pwt</w:t>
      </w:r>
      <w:proofErr w:type="spellEnd"/>
      <w:r w:rsidRPr="00773E48">
        <w:rPr>
          <w:rFonts w:ascii="Times New Roman" w:eastAsiaTheme="minorHAnsi" w:hAnsi="Times New Roman"/>
          <w:iCs/>
          <w:sz w:val="20"/>
          <w:lang w:eastAsia="en-US"/>
        </w:rPr>
        <w:t> 34,6), a także perspektywą Ziemi Obiecanej (por. </w:t>
      </w:r>
      <w:proofErr w:type="spellStart"/>
      <w:r w:rsidRPr="00773E48">
        <w:rPr>
          <w:rFonts w:ascii="Times New Roman" w:eastAsiaTheme="minorHAnsi" w:hAnsi="Times New Roman"/>
          <w:iCs/>
          <w:sz w:val="20"/>
          <w:lang w:eastAsia="en-US"/>
        </w:rPr>
        <w:t>Pwt</w:t>
      </w:r>
      <w:proofErr w:type="spellEnd"/>
      <w:r w:rsidRPr="00773E48">
        <w:rPr>
          <w:rFonts w:ascii="Times New Roman" w:eastAsiaTheme="minorHAnsi" w:hAnsi="Times New Roman"/>
          <w:iCs/>
          <w:sz w:val="20"/>
          <w:lang w:eastAsia="en-US"/>
        </w:rPr>
        <w:t xml:space="preserve"> 34,1-4). </w:t>
      </w:r>
      <w:r w:rsidRPr="00773E48">
        <w:rPr>
          <w:rFonts w:ascii="Times New Roman" w:eastAsiaTheme="minorHAnsi" w:hAnsi="Times New Roman"/>
          <w:i/>
          <w:iCs/>
          <w:sz w:val="20"/>
          <w:lang w:eastAsia="en-US"/>
        </w:rPr>
        <w:t>Księga Rodzaju</w:t>
      </w:r>
      <w:r w:rsidRPr="00773E48">
        <w:rPr>
          <w:rFonts w:ascii="Times New Roman" w:eastAsiaTheme="minorHAnsi" w:hAnsi="Times New Roman"/>
          <w:iCs/>
          <w:sz w:val="20"/>
          <w:lang w:eastAsia="en-US"/>
        </w:rPr>
        <w:t xml:space="preserve">, jak cały </w:t>
      </w:r>
      <w:r w:rsidRPr="00773E48">
        <w:rPr>
          <w:rFonts w:ascii="Times New Roman" w:eastAsiaTheme="minorHAnsi" w:hAnsi="Times New Roman"/>
          <w:i/>
          <w:iCs/>
          <w:sz w:val="20"/>
          <w:lang w:eastAsia="en-US"/>
        </w:rPr>
        <w:t>Pięcioksiąg</w:t>
      </w:r>
      <w:r w:rsidRPr="00773E48">
        <w:rPr>
          <w:rFonts w:ascii="Times New Roman" w:eastAsiaTheme="minorHAnsi" w:hAnsi="Times New Roman"/>
          <w:iCs/>
          <w:sz w:val="20"/>
          <w:lang w:eastAsia="en-US"/>
        </w:rPr>
        <w:t>, zaczyna się stworzeniem i ogrodem Eden (Rdz 1-2), a kończy się perspektywą Ziemi Obiecanej i nadzieją zmartwychwstania (</w:t>
      </w:r>
      <w:proofErr w:type="spellStart"/>
      <w:r w:rsidRPr="00773E48">
        <w:rPr>
          <w:rFonts w:ascii="Times New Roman" w:eastAsiaTheme="minorHAnsi" w:hAnsi="Times New Roman"/>
          <w:iCs/>
          <w:sz w:val="20"/>
          <w:lang w:eastAsia="en-US"/>
        </w:rPr>
        <w:t>Pwt</w:t>
      </w:r>
      <w:proofErr w:type="spellEnd"/>
      <w:r w:rsidRPr="00773E48">
        <w:rPr>
          <w:rFonts w:ascii="Times New Roman" w:eastAsiaTheme="minorHAnsi" w:hAnsi="Times New Roman"/>
          <w:iCs/>
          <w:sz w:val="20"/>
          <w:lang w:eastAsia="en-US"/>
        </w:rPr>
        <w:t> 34,6; por. </w:t>
      </w:r>
      <w:proofErr w:type="spellStart"/>
      <w:r w:rsidRPr="00773E48">
        <w:rPr>
          <w:rFonts w:ascii="Times New Roman" w:eastAsiaTheme="minorHAnsi" w:hAnsi="Times New Roman"/>
          <w:iCs/>
          <w:sz w:val="20"/>
          <w:lang w:eastAsia="en-US"/>
        </w:rPr>
        <w:t>Jud</w:t>
      </w:r>
      <w:proofErr w:type="spellEnd"/>
      <w:r w:rsidRPr="00773E48">
        <w:rPr>
          <w:rFonts w:ascii="Times New Roman" w:eastAsiaTheme="minorHAnsi" w:hAnsi="Times New Roman"/>
          <w:iCs/>
          <w:sz w:val="20"/>
          <w:lang w:eastAsia="en-US"/>
        </w:rPr>
        <w:t xml:space="preserve"> 1,9). Ta literacka zbieżność nie jest przypadkowa. Podobne skojarzenie znajdujemy w innych miejscach (</w:t>
      </w:r>
      <w:proofErr w:type="spellStart"/>
      <w:r w:rsidRPr="00773E48">
        <w:rPr>
          <w:rFonts w:ascii="Times New Roman" w:eastAsiaTheme="minorHAnsi" w:hAnsi="Times New Roman"/>
          <w:iCs/>
          <w:sz w:val="20"/>
          <w:lang w:eastAsia="en-US"/>
        </w:rPr>
        <w:t>Hbr</w:t>
      </w:r>
      <w:proofErr w:type="spellEnd"/>
      <w:r w:rsidRPr="00773E48">
        <w:rPr>
          <w:rFonts w:ascii="Times New Roman" w:eastAsiaTheme="minorHAnsi" w:hAnsi="Times New Roman"/>
          <w:iCs/>
          <w:sz w:val="20"/>
          <w:lang w:eastAsia="en-US"/>
        </w:rPr>
        <w:t xml:space="preserve"> 11,1) oraz na początku i na końcu kilku ksiąg biblijnych (zob. np. Iz 1,2; 66,22-23; </w:t>
      </w:r>
      <w:proofErr w:type="spellStart"/>
      <w:r w:rsidRPr="00773E48">
        <w:rPr>
          <w:rFonts w:ascii="Times New Roman" w:eastAsiaTheme="minorHAnsi" w:hAnsi="Times New Roman"/>
          <w:iCs/>
          <w:sz w:val="20"/>
          <w:lang w:eastAsia="en-US"/>
        </w:rPr>
        <w:t>Koh</w:t>
      </w:r>
      <w:proofErr w:type="spellEnd"/>
      <w:r w:rsidRPr="00773E48">
        <w:rPr>
          <w:rFonts w:ascii="Times New Roman" w:eastAsiaTheme="minorHAnsi" w:hAnsi="Times New Roman"/>
          <w:iCs/>
          <w:sz w:val="20"/>
          <w:lang w:eastAsia="en-US"/>
        </w:rPr>
        <w:t xml:space="preserve"> 1,1-11; 12,14; </w:t>
      </w:r>
      <w:proofErr w:type="spellStart"/>
      <w:r w:rsidRPr="00773E48">
        <w:rPr>
          <w:rFonts w:ascii="Times New Roman" w:eastAsiaTheme="minorHAnsi" w:hAnsi="Times New Roman"/>
          <w:iCs/>
          <w:sz w:val="20"/>
          <w:lang w:eastAsia="en-US"/>
        </w:rPr>
        <w:t>Dn</w:t>
      </w:r>
      <w:proofErr w:type="spellEnd"/>
      <w:r w:rsidRPr="00773E48">
        <w:rPr>
          <w:rFonts w:ascii="Times New Roman" w:eastAsiaTheme="minorHAnsi" w:hAnsi="Times New Roman"/>
          <w:iCs/>
          <w:sz w:val="20"/>
          <w:lang w:eastAsia="en-US"/>
        </w:rPr>
        <w:t xml:space="preserve"> 1,12; 12,13; J 1,1-10; 21,22-23), a także w całej </w:t>
      </w:r>
      <w:r w:rsidRPr="00773E48">
        <w:rPr>
          <w:rFonts w:ascii="Times New Roman" w:eastAsiaTheme="minorHAnsi" w:hAnsi="Times New Roman"/>
          <w:i/>
          <w:iCs/>
          <w:sz w:val="20"/>
          <w:lang w:eastAsia="en-US"/>
        </w:rPr>
        <w:t>Biblii</w:t>
      </w:r>
      <w:r w:rsidRPr="00773E48">
        <w:rPr>
          <w:rFonts w:ascii="Times New Roman" w:eastAsiaTheme="minorHAnsi" w:hAnsi="Times New Roman"/>
          <w:iCs/>
          <w:sz w:val="20"/>
          <w:lang w:eastAsia="en-US"/>
        </w:rPr>
        <w:t xml:space="preserve"> (Rdz 1-2; </w:t>
      </w:r>
      <w:proofErr w:type="spellStart"/>
      <w:r w:rsidRPr="00773E48">
        <w:rPr>
          <w:rFonts w:ascii="Times New Roman" w:eastAsiaTheme="minorHAnsi" w:hAnsi="Times New Roman"/>
          <w:iCs/>
          <w:sz w:val="20"/>
          <w:lang w:eastAsia="en-US"/>
        </w:rPr>
        <w:t>Ap</w:t>
      </w:r>
      <w:proofErr w:type="spellEnd"/>
      <w:r w:rsidRPr="00773E48">
        <w:rPr>
          <w:rFonts w:ascii="Times New Roman" w:eastAsiaTheme="minorHAnsi" w:hAnsi="Times New Roman"/>
          <w:iCs/>
          <w:sz w:val="20"/>
          <w:lang w:eastAsia="en-US"/>
        </w:rPr>
        <w:t> 22,20).</w:t>
      </w:r>
    </w:p>
    <w:p w14:paraId="46989464" w14:textId="77777777" w:rsidR="00D92CA4" w:rsidRPr="00773E48" w:rsidRDefault="00D92CA4" w:rsidP="00D92CA4">
      <w:pPr>
        <w:rPr>
          <w:rFonts w:ascii="Times New Roman" w:eastAsiaTheme="minorHAnsi" w:hAnsi="Times New Roman"/>
          <w:iCs/>
          <w:sz w:val="20"/>
          <w:lang w:eastAsia="en-US"/>
        </w:rPr>
      </w:pPr>
    </w:p>
    <w:p w14:paraId="668188EE" w14:textId="77777777" w:rsidR="00D92CA4" w:rsidRPr="00773E48" w:rsidRDefault="00D92CA4" w:rsidP="00D92CA4">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126F130A" w14:textId="77777777" w:rsidR="00D92CA4" w:rsidRPr="00773E48" w:rsidRDefault="00D92CA4" w:rsidP="00D92CA4">
      <w:pPr>
        <w:rPr>
          <w:rFonts w:ascii="Times New Roman" w:eastAsiaTheme="minorHAnsi" w:hAnsi="Times New Roman"/>
          <w:sz w:val="20"/>
          <w:lang w:eastAsia="en-US"/>
        </w:rPr>
      </w:pPr>
    </w:p>
    <w:p w14:paraId="4A3A34C8"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Błogosławieństwo Jakuba</w:t>
      </w:r>
      <w:r w:rsidRPr="00773E48">
        <w:rPr>
          <w:rFonts w:ascii="Times New Roman" w:eastAsiaTheme="minorHAnsi" w:hAnsi="Times New Roman"/>
          <w:iCs/>
          <w:sz w:val="20"/>
          <w:lang w:eastAsia="en-US"/>
        </w:rPr>
        <w:t xml:space="preserve">. Pewien wykładowca </w:t>
      </w:r>
      <w:r w:rsidRPr="00773E48">
        <w:rPr>
          <w:rFonts w:ascii="Times New Roman" w:eastAsiaTheme="minorHAnsi" w:hAnsi="Times New Roman"/>
          <w:i/>
          <w:iCs/>
          <w:sz w:val="20"/>
          <w:lang w:eastAsia="en-US"/>
        </w:rPr>
        <w:t>Nowego Testamentu</w:t>
      </w:r>
      <w:r w:rsidRPr="00773E48">
        <w:rPr>
          <w:rFonts w:ascii="Times New Roman" w:eastAsiaTheme="minorHAnsi" w:hAnsi="Times New Roman"/>
          <w:iCs/>
          <w:sz w:val="20"/>
          <w:lang w:eastAsia="en-US"/>
        </w:rPr>
        <w:t xml:space="preserve"> powiedział do studentów: „Jeśli chcecie być dobrymi chrześcijanami, musicie zabić w sobie Izraelitów”. Wtedy jeden ze studentów zapytał: „Jezusa też?”. Jak błogosławieństwo Jakuba dla jego synów odnosi się do ciebie osobiście? Czy możliwe jest przyjęcie błogosławieństwa Jakuba i jednocześnie odrzucenie jego izraelskości? Co sprawia, że te błogosławieństwa należą także do ciebie?</w:t>
      </w:r>
    </w:p>
    <w:p w14:paraId="3607C7CE" w14:textId="77777777"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Przyjście Mesjasza</w:t>
      </w:r>
      <w:r w:rsidRPr="00773E48">
        <w:rPr>
          <w:rFonts w:ascii="Times New Roman" w:eastAsiaTheme="minorHAnsi" w:hAnsi="Times New Roman"/>
          <w:iCs/>
          <w:sz w:val="20"/>
          <w:lang w:eastAsia="en-US"/>
        </w:rPr>
        <w:t>. Jak to proroctwo odnosi się do Jezusa Chrystusa? Omówcie wymowne wyobrażenia użyte w tym fragmencie w celu wskazania na Mesjasza. Jak obraz Chrystusa jako „prawodawcy” przekłada się na twoje życie? Jak obraz oczu i zębów oznaczających radość życia i pokój wpływa na twoje zrozumienie chrześcijańskiego życia?</w:t>
      </w:r>
    </w:p>
    <w:p w14:paraId="6388F9EF" w14:textId="6F39E890"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Od zła do dobra</w:t>
      </w:r>
      <w:r w:rsidRPr="00773E48">
        <w:rPr>
          <w:rFonts w:ascii="Times New Roman" w:eastAsiaTheme="minorHAnsi" w:hAnsi="Times New Roman"/>
          <w:iCs/>
          <w:sz w:val="20"/>
          <w:lang w:eastAsia="en-US"/>
        </w:rPr>
        <w:t>. Czy pamiętasz doświadczenie z twojego życia, kiedy złe działanie skierowane przeciwko tobie, mające ci zaszkodzić, okazało się dobrodziejstwem dla ciebie? Jak twoje doświadczenie cierpienia i</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niesprawiedliwości wpłynęło na kształtowanie twojego charakteru?</w:t>
      </w:r>
    </w:p>
    <w:p w14:paraId="18E92656" w14:textId="42344AA2" w:rsidR="00D92CA4" w:rsidRPr="00773E48" w:rsidRDefault="00D92CA4" w:rsidP="00D92CA4">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Zbawienie dla świata</w:t>
      </w:r>
      <w:r w:rsidRPr="00773E48">
        <w:rPr>
          <w:rFonts w:ascii="Times New Roman" w:eastAsiaTheme="minorHAnsi" w:hAnsi="Times New Roman"/>
          <w:iCs/>
          <w:sz w:val="20"/>
          <w:lang w:eastAsia="en-US"/>
        </w:rPr>
        <w:t>. Jak nasza nazwa - Kościół Adwentystów Dnia Siódmego - świadczy o naszej wierze w stworzenie? Jak sugeruje ta nazwa, jakie jest skojarzenie naszej wiary w stworzenie z nadzieją związaną z</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powtórnym przyjściem Chrystusa?</w:t>
      </w:r>
    </w:p>
    <w:p w14:paraId="437062EB" w14:textId="77777777" w:rsidR="00D92CA4" w:rsidRPr="00773E48" w:rsidRDefault="00D92CA4" w:rsidP="00D92CA4">
      <w:pPr>
        <w:rPr>
          <w:rFonts w:ascii="Times New Roman" w:eastAsiaTheme="minorHAnsi" w:hAnsi="Times New Roman"/>
          <w:sz w:val="20"/>
          <w:lang w:eastAsia="en-US"/>
        </w:rPr>
      </w:pPr>
    </w:p>
    <w:p w14:paraId="0BC7ABD0" w14:textId="0D18793D" w:rsidR="00CD39F3" w:rsidRPr="00773E48" w:rsidRDefault="00CD39F3" w:rsidP="00D92CA4">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BEA6" w14:textId="77777777" w:rsidR="007328A5" w:rsidRDefault="007328A5" w:rsidP="00A820C9">
      <w:r>
        <w:separator/>
      </w:r>
    </w:p>
  </w:endnote>
  <w:endnote w:type="continuationSeparator" w:id="0">
    <w:p w14:paraId="57662DB9" w14:textId="77777777" w:rsidR="007328A5" w:rsidRDefault="007328A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2514" w14:textId="77777777" w:rsidR="007328A5" w:rsidRDefault="007328A5" w:rsidP="00A820C9">
      <w:r>
        <w:separator/>
      </w:r>
    </w:p>
  </w:footnote>
  <w:footnote w:type="continuationSeparator" w:id="0">
    <w:p w14:paraId="784D9544" w14:textId="77777777" w:rsidR="007328A5" w:rsidRDefault="007328A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proofErr w:type="spellStart"/>
    <w:r w:rsidR="00617CBE">
      <w:rPr>
        <w:rFonts w:ascii="Times New Roman" w:hAnsi="Times New Roman"/>
        <w:sz w:val="16"/>
        <w:szCs w:val="16"/>
      </w:rPr>
      <w:t>Jacqes</w:t>
    </w:r>
    <w:proofErr w:type="spellEnd"/>
    <w:r w:rsidR="00617CBE">
      <w:rPr>
        <w:rFonts w:ascii="Times New Roman" w:hAnsi="Times New Roman"/>
        <w:sz w:val="16"/>
        <w:szCs w:val="16"/>
      </w:rPr>
      <w:t xml:space="preserve"> B. </w:t>
    </w:r>
    <w:proofErr w:type="spellStart"/>
    <w:r w:rsidR="00617CBE">
      <w:rPr>
        <w:rFonts w:ascii="Times New Roman" w:hAnsi="Times New Roman"/>
        <w:sz w:val="16"/>
        <w:szCs w:val="16"/>
      </w:rPr>
      <w:t>Doukhan</w:t>
    </w:r>
    <w:proofErr w:type="spellEnd"/>
    <w:r w:rsidR="00262338">
      <w:rPr>
        <w:rFonts w:ascii="Times New Roman" w:hAnsi="Times New Roman"/>
        <w:sz w:val="16"/>
        <w:szCs w:val="16"/>
      </w:rPr>
      <w:t xml:space="preserve"> – </w:t>
    </w:r>
    <w:r w:rsidR="00617CBE">
      <w:rPr>
        <w:rFonts w:ascii="Times New Roman" w:hAnsi="Times New Roman"/>
        <w:sz w:val="16"/>
        <w:szCs w:val="16"/>
      </w:rPr>
      <w:t>Księga Rodzaju</w:t>
    </w:r>
  </w:p>
  <w:p w14:paraId="1D2ABF02" w14:textId="4E0F336D"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w:t>
    </w:r>
    <w:r w:rsidR="00666851">
      <w:rPr>
        <w:rFonts w:ascii="Times New Roman" w:hAnsi="Times New Roman"/>
        <w:sz w:val="16"/>
        <w:szCs w:val="16"/>
      </w:rPr>
      <w:t>1</w:t>
    </w:r>
    <w:r w:rsidR="00D92CA4">
      <w:rPr>
        <w:rFonts w:ascii="Times New Roman" w:hAnsi="Times New Roman"/>
        <w:sz w:val="16"/>
        <w:szCs w:val="16"/>
      </w:rPr>
      <w:t>3</w:t>
    </w:r>
    <w:r w:rsidR="0015413F">
      <w:rPr>
        <w:rFonts w:ascii="Times New Roman" w:hAnsi="Times New Roman"/>
        <w:sz w:val="16"/>
        <w:szCs w:val="16"/>
      </w:rPr>
      <w:t>–</w:t>
    </w:r>
    <w:r w:rsidR="00C851EF">
      <w:rPr>
        <w:rFonts w:ascii="Times New Roman" w:hAnsi="Times New Roman"/>
        <w:sz w:val="16"/>
        <w:szCs w:val="16"/>
      </w:rPr>
      <w:t xml:space="preserve"> </w:t>
    </w:r>
    <w:r w:rsidR="00186AB2">
      <w:rPr>
        <w:rFonts w:ascii="Times New Roman" w:hAnsi="Times New Roman"/>
        <w:sz w:val="16"/>
        <w:szCs w:val="16"/>
      </w:rPr>
      <w:t>Izrael w Egipcie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4946"/>
    <w:rsid w:val="005F5068"/>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39F3"/>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1378</Words>
  <Characters>8271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2022-05-18T12:11:00Z</dcterms:created>
  <dcterms:modified xsi:type="dcterms:W3CDTF">2022-05-18T12:16:00Z</dcterms:modified>
</cp:coreProperties>
</file>