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589E" w:rsidRPr="00896DEA" w:rsidRDefault="00B8589E" w:rsidP="00B8589E">
      <w:pPr>
        <w:rPr>
          <w:rFonts w:ascii="Times New Roman" w:hAnsi="Times New Roman"/>
          <w:sz w:val="22"/>
          <w:szCs w:val="22"/>
        </w:rPr>
      </w:pPr>
    </w:p>
    <w:p w:rsidR="00B8589E" w:rsidRDefault="00B8589E" w:rsidP="00B8589E">
      <w:pPr>
        <w:rPr>
          <w:rFonts w:ascii="Times New Roman" w:hAnsi="Times New Roman"/>
          <w:sz w:val="22"/>
          <w:szCs w:val="22"/>
        </w:rPr>
      </w:pPr>
      <w:r w:rsidRPr="00B8589E">
        <w:rPr>
          <w:rFonts w:ascii="Times New Roman" w:hAnsi="Times New Roman"/>
          <w:sz w:val="20"/>
          <w:szCs w:val="22"/>
        </w:rPr>
        <w:t xml:space="preserve">Lekcja </w:t>
      </w:r>
      <w:r w:rsidR="00D9317F">
        <w:rPr>
          <w:rFonts w:ascii="Times New Roman" w:hAnsi="Times New Roman"/>
          <w:sz w:val="20"/>
          <w:szCs w:val="22"/>
        </w:rPr>
        <w:t>3</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00FF60C8">
        <w:rPr>
          <w:rFonts w:ascii="Times New Roman" w:hAnsi="Times New Roman"/>
          <w:sz w:val="20"/>
          <w:szCs w:val="22"/>
        </w:rPr>
        <w:t>21</w:t>
      </w:r>
      <w:r w:rsidRPr="00B8589E">
        <w:rPr>
          <w:rFonts w:ascii="Times New Roman" w:hAnsi="Times New Roman"/>
          <w:sz w:val="20"/>
          <w:szCs w:val="22"/>
        </w:rPr>
        <w:t xml:space="preserve"> października</w:t>
      </w:r>
    </w:p>
    <w:p w:rsidR="00B8589E" w:rsidRPr="00896DEA" w:rsidRDefault="00B8589E" w:rsidP="00B8589E">
      <w:pPr>
        <w:rPr>
          <w:rFonts w:ascii="Times New Roman" w:hAnsi="Times New Roman"/>
          <w:sz w:val="22"/>
          <w:szCs w:val="22"/>
        </w:rPr>
      </w:pPr>
      <w:bookmarkStart w:id="0" w:name="_GoBack"/>
      <w:bookmarkEnd w:id="0"/>
    </w:p>
    <w:p w:rsidR="00B8589E" w:rsidRPr="00B8589E" w:rsidRDefault="00FF60C8" w:rsidP="00B8589E">
      <w:pPr>
        <w:jc w:val="center"/>
        <w:rPr>
          <w:rFonts w:ascii="Times New Roman" w:hAnsi="Times New Roman"/>
          <w:b/>
          <w:sz w:val="24"/>
          <w:szCs w:val="22"/>
        </w:rPr>
      </w:pPr>
      <w:r>
        <w:rPr>
          <w:rFonts w:ascii="Times New Roman" w:hAnsi="Times New Roman"/>
          <w:b/>
          <w:sz w:val="24"/>
          <w:szCs w:val="22"/>
        </w:rPr>
        <w:t>JEDNOŚĆ EWANGELII</w:t>
      </w:r>
    </w:p>
    <w:p w:rsidR="00FF60C8" w:rsidRDefault="00FF60C8" w:rsidP="00FF60C8">
      <w:pPr>
        <w:rPr>
          <w:rFonts w:ascii="Times New Roman" w:hAnsi="Times New Roman"/>
          <w:sz w:val="22"/>
          <w:szCs w:val="22"/>
        </w:rPr>
      </w:pPr>
    </w:p>
    <w:p w:rsidR="00FF60C8" w:rsidRDefault="00A24236" w:rsidP="00A24236">
      <w:pPr>
        <w:tabs>
          <w:tab w:val="left" w:pos="3338"/>
        </w:tabs>
        <w:rPr>
          <w:rFonts w:ascii="Times New Roman" w:hAnsi="Times New Roman"/>
          <w:sz w:val="22"/>
          <w:szCs w:val="22"/>
        </w:rPr>
      </w:pPr>
      <w:r>
        <w:rPr>
          <w:rFonts w:ascii="Times New Roman" w:hAnsi="Times New Roman"/>
          <w:sz w:val="22"/>
          <w:szCs w:val="22"/>
        </w:rPr>
        <w:tab/>
      </w:r>
    </w:p>
    <w:p w:rsidR="00FF60C8" w:rsidRDefault="00FF60C8" w:rsidP="00FF60C8">
      <w:pPr>
        <w:rPr>
          <w:rFonts w:ascii="Times New Roman" w:hAnsi="Times New Roman"/>
          <w:b/>
          <w:bCs/>
          <w:sz w:val="22"/>
          <w:szCs w:val="22"/>
        </w:rPr>
      </w:pPr>
      <w:r>
        <w:rPr>
          <w:rFonts w:ascii="Times New Roman" w:hAnsi="Times New Roman"/>
          <w:b/>
          <w:bCs/>
          <w:sz w:val="22"/>
          <w:szCs w:val="22"/>
        </w:rPr>
        <w:t xml:space="preserve">Tekst biblijny: </w:t>
      </w:r>
      <w:proofErr w:type="spellStart"/>
      <w:r>
        <w:rPr>
          <w:rFonts w:ascii="Times New Roman" w:hAnsi="Times New Roman"/>
          <w:iCs/>
          <w:sz w:val="22"/>
          <w:szCs w:val="22"/>
        </w:rPr>
        <w:t>Rz</w:t>
      </w:r>
      <w:proofErr w:type="spellEnd"/>
      <w:r>
        <w:rPr>
          <w:rFonts w:ascii="Times New Roman" w:hAnsi="Times New Roman"/>
          <w:iCs/>
          <w:sz w:val="22"/>
          <w:szCs w:val="22"/>
        </w:rPr>
        <w:t xml:space="preserve"> 3,23</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 xml:space="preserve">Cel lekcji: </w:t>
      </w:r>
    </w:p>
    <w:p w:rsidR="00FF60C8" w:rsidRDefault="00FF60C8" w:rsidP="00FF60C8">
      <w:pPr>
        <w:ind w:left="567" w:firstLine="0"/>
        <w:rPr>
          <w:rFonts w:ascii="Times New Roman" w:hAnsi="Times New Roman"/>
          <w:sz w:val="22"/>
          <w:szCs w:val="22"/>
        </w:rPr>
      </w:pPr>
      <w:r>
        <w:rPr>
          <w:rFonts w:ascii="Times New Roman" w:hAnsi="Times New Roman"/>
          <w:b/>
          <w:bCs/>
          <w:sz w:val="22"/>
          <w:szCs w:val="22"/>
        </w:rPr>
        <w:t xml:space="preserve">Poznanie: </w:t>
      </w:r>
      <w:r>
        <w:rPr>
          <w:rFonts w:ascii="Times New Roman" w:hAnsi="Times New Roman"/>
          <w:sz w:val="22"/>
          <w:szCs w:val="22"/>
        </w:rPr>
        <w:t>Przyznanie, że ludzkość wpadła w przepaść grzechu i śmierci, z której nie może się wydobyć.</w:t>
      </w:r>
    </w:p>
    <w:p w:rsidR="00FF60C8" w:rsidRDefault="00FF60C8" w:rsidP="00FF60C8">
      <w:pPr>
        <w:rPr>
          <w:rFonts w:ascii="Times New Roman" w:hAnsi="Times New Roman"/>
          <w:sz w:val="22"/>
          <w:szCs w:val="22"/>
        </w:rPr>
      </w:pPr>
      <w:r>
        <w:rPr>
          <w:rFonts w:ascii="Times New Roman" w:hAnsi="Times New Roman"/>
          <w:b/>
          <w:bCs/>
          <w:sz w:val="22"/>
          <w:szCs w:val="22"/>
        </w:rPr>
        <w:t xml:space="preserve">Odczucie: </w:t>
      </w:r>
      <w:r>
        <w:rPr>
          <w:rFonts w:ascii="Times New Roman" w:hAnsi="Times New Roman"/>
          <w:sz w:val="22"/>
          <w:szCs w:val="22"/>
        </w:rPr>
        <w:t>Poczucie bezradności i jednocześnie żywej nadziei, iż Bóg nas nie opuścił.</w:t>
      </w:r>
    </w:p>
    <w:p w:rsidR="00FF60C8" w:rsidRDefault="00FF60C8" w:rsidP="00FF60C8">
      <w:pPr>
        <w:ind w:left="567" w:firstLine="0"/>
        <w:rPr>
          <w:rFonts w:ascii="Times New Roman" w:hAnsi="Times New Roman"/>
          <w:sz w:val="22"/>
          <w:szCs w:val="22"/>
        </w:rPr>
      </w:pPr>
      <w:r>
        <w:rPr>
          <w:rFonts w:ascii="Times New Roman" w:hAnsi="Times New Roman"/>
          <w:b/>
          <w:bCs/>
          <w:sz w:val="22"/>
          <w:szCs w:val="22"/>
        </w:rPr>
        <w:t xml:space="preserve">Działanie: </w:t>
      </w:r>
      <w:r>
        <w:rPr>
          <w:rFonts w:ascii="Times New Roman" w:hAnsi="Times New Roman"/>
          <w:sz w:val="22"/>
          <w:szCs w:val="22"/>
        </w:rPr>
        <w:t>Odrzucenie twierdzeń o ludzkiej dobroci i postępie tłumiących poczucie potrzeby Chrystusa.</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Plan nauczania</w:t>
      </w:r>
    </w:p>
    <w:p w:rsidR="00FF60C8" w:rsidRDefault="00FF60C8" w:rsidP="00FF60C8">
      <w:pPr>
        <w:rPr>
          <w:rFonts w:ascii="Times New Roman" w:hAnsi="Times New Roman"/>
          <w:sz w:val="22"/>
          <w:szCs w:val="22"/>
        </w:rPr>
      </w:pPr>
      <w:r>
        <w:rPr>
          <w:rFonts w:ascii="Times New Roman" w:hAnsi="Times New Roman"/>
          <w:b/>
          <w:bCs/>
          <w:sz w:val="22"/>
          <w:szCs w:val="22"/>
        </w:rPr>
        <w:t>I. Poznanie: Świadomość problemu.</w:t>
      </w:r>
    </w:p>
    <w:p w:rsidR="00FF60C8" w:rsidRDefault="00FF60C8" w:rsidP="00A24236">
      <w:pPr>
        <w:ind w:left="567" w:firstLine="0"/>
        <w:rPr>
          <w:rFonts w:ascii="Times New Roman" w:hAnsi="Times New Roman"/>
          <w:sz w:val="22"/>
          <w:szCs w:val="22"/>
        </w:rPr>
      </w:pPr>
      <w:r>
        <w:rPr>
          <w:rFonts w:ascii="Times New Roman" w:hAnsi="Times New Roman"/>
          <w:sz w:val="22"/>
          <w:szCs w:val="22"/>
        </w:rPr>
        <w:t>A. Dlaczego grzech należy rozumieć jako powszechny problem, a nie przejściowe utrudnienie tu i ówdzie?</w:t>
      </w:r>
    </w:p>
    <w:p w:rsidR="00FF60C8" w:rsidRDefault="00FF60C8" w:rsidP="00A24236">
      <w:pPr>
        <w:ind w:left="567" w:firstLine="0"/>
        <w:rPr>
          <w:rFonts w:ascii="Times New Roman" w:hAnsi="Times New Roman"/>
          <w:sz w:val="22"/>
          <w:szCs w:val="22"/>
        </w:rPr>
      </w:pPr>
      <w:r>
        <w:rPr>
          <w:rFonts w:ascii="Times New Roman" w:hAnsi="Times New Roman"/>
          <w:sz w:val="22"/>
          <w:szCs w:val="22"/>
        </w:rPr>
        <w:t>B. Jak mają się różne ludzkie sposoby na zło ludzkości (edukacja, metody polityczne i społeczne itd.) do rozwiązania, jakie Bóg przygotował przez Chrystusa?</w:t>
      </w:r>
    </w:p>
    <w:p w:rsidR="00FF60C8" w:rsidRDefault="00FF60C8" w:rsidP="00A24236">
      <w:pPr>
        <w:ind w:left="567" w:firstLine="0"/>
        <w:rPr>
          <w:rFonts w:ascii="Times New Roman" w:hAnsi="Times New Roman"/>
          <w:sz w:val="22"/>
          <w:szCs w:val="22"/>
        </w:rPr>
      </w:pPr>
      <w:r>
        <w:rPr>
          <w:rFonts w:ascii="Times New Roman" w:hAnsi="Times New Roman"/>
          <w:b/>
          <w:bCs/>
          <w:sz w:val="22"/>
          <w:szCs w:val="22"/>
        </w:rPr>
        <w:t>II. Odczucie: Uporanie się z problemem.</w:t>
      </w:r>
    </w:p>
    <w:p w:rsidR="00FF60C8" w:rsidRDefault="00FF60C8" w:rsidP="00A24236">
      <w:pPr>
        <w:ind w:left="567" w:firstLine="0"/>
        <w:rPr>
          <w:rFonts w:ascii="Times New Roman" w:hAnsi="Times New Roman"/>
          <w:sz w:val="22"/>
          <w:szCs w:val="22"/>
        </w:rPr>
      </w:pPr>
      <w:r>
        <w:rPr>
          <w:rFonts w:ascii="Times New Roman" w:hAnsi="Times New Roman"/>
          <w:sz w:val="22"/>
          <w:szCs w:val="22"/>
        </w:rPr>
        <w:t>A. Jakie kulturowe kłamstwa czynią nas nieczułymi na grzech i potrzebę Boga?</w:t>
      </w:r>
    </w:p>
    <w:p w:rsidR="00FF60C8" w:rsidRDefault="00FF60C8" w:rsidP="00A24236">
      <w:pPr>
        <w:ind w:left="567" w:firstLine="0"/>
        <w:rPr>
          <w:rFonts w:ascii="Times New Roman" w:hAnsi="Times New Roman"/>
          <w:sz w:val="22"/>
          <w:szCs w:val="22"/>
        </w:rPr>
      </w:pPr>
      <w:r>
        <w:rPr>
          <w:rFonts w:ascii="Times New Roman" w:hAnsi="Times New Roman"/>
          <w:sz w:val="22"/>
          <w:szCs w:val="22"/>
        </w:rPr>
        <w:t>B. Skoro „poczucie grzeszności” może być autodestruktywnym doświadczeniem, jak możemy je wykorzystać jako pierwszy krok ku Chrystusowi?</w:t>
      </w:r>
    </w:p>
    <w:p w:rsidR="00FF60C8" w:rsidRDefault="00FF60C8" w:rsidP="00A24236">
      <w:pPr>
        <w:ind w:left="567" w:firstLine="0"/>
        <w:rPr>
          <w:rFonts w:ascii="Times New Roman" w:hAnsi="Times New Roman"/>
          <w:b/>
          <w:bCs/>
          <w:sz w:val="22"/>
          <w:szCs w:val="22"/>
        </w:rPr>
      </w:pPr>
      <w:r>
        <w:rPr>
          <w:rFonts w:ascii="Times New Roman" w:hAnsi="Times New Roman"/>
          <w:b/>
          <w:bCs/>
          <w:sz w:val="22"/>
          <w:szCs w:val="22"/>
        </w:rPr>
        <w:t>III. Działanie: Koniec z zaprzeczaniem problemowi.</w:t>
      </w:r>
    </w:p>
    <w:p w:rsidR="00FF60C8" w:rsidRDefault="00FF60C8" w:rsidP="00A24236">
      <w:pPr>
        <w:ind w:left="567" w:firstLine="0"/>
        <w:rPr>
          <w:rFonts w:ascii="Times New Roman" w:hAnsi="Times New Roman"/>
          <w:sz w:val="22"/>
          <w:szCs w:val="22"/>
        </w:rPr>
      </w:pPr>
      <w:r>
        <w:rPr>
          <w:rFonts w:ascii="Times New Roman" w:hAnsi="Times New Roman"/>
          <w:sz w:val="22"/>
          <w:szCs w:val="22"/>
        </w:rPr>
        <w:t>A. Jak odpowiedziałbyś na twierdzenie, że ludzkość nie jest w zupełnie złym stanie (a zatem nie potrzebuje Zbawiciela), skoro istnieją uprzejmi i miłujący ludzie nie mający związku z</w:t>
      </w:r>
      <w:r w:rsidR="00A24236">
        <w:rPr>
          <w:rFonts w:ascii="Times New Roman" w:hAnsi="Times New Roman"/>
          <w:sz w:val="22"/>
          <w:szCs w:val="22"/>
        </w:rPr>
        <w:t> </w:t>
      </w:r>
      <w:r>
        <w:rPr>
          <w:rFonts w:ascii="Times New Roman" w:hAnsi="Times New Roman"/>
          <w:sz w:val="22"/>
          <w:szCs w:val="22"/>
        </w:rPr>
        <w:t xml:space="preserve"> chrześcijaństwem?</w:t>
      </w:r>
    </w:p>
    <w:p w:rsidR="00FF60C8" w:rsidRDefault="00FF60C8" w:rsidP="00A24236">
      <w:pPr>
        <w:ind w:left="567" w:firstLine="0"/>
        <w:rPr>
          <w:rFonts w:ascii="Times New Roman" w:hAnsi="Times New Roman"/>
          <w:sz w:val="22"/>
          <w:szCs w:val="22"/>
        </w:rPr>
      </w:pPr>
      <w:r>
        <w:rPr>
          <w:rFonts w:ascii="Times New Roman" w:hAnsi="Times New Roman"/>
          <w:sz w:val="22"/>
          <w:szCs w:val="22"/>
        </w:rPr>
        <w:t>B. Jak rozróżnienie między wewnętrznym życiem w głębi serca i zewnętrznymi czynami pomaga nam odpowiedzieć na poprzednie pytanie?</w:t>
      </w:r>
    </w:p>
    <w:p w:rsidR="00FF60C8" w:rsidRDefault="00FF60C8" w:rsidP="00A24236">
      <w:pPr>
        <w:ind w:left="567" w:firstLine="0"/>
        <w:rPr>
          <w:rFonts w:ascii="Times New Roman" w:hAnsi="Times New Roman"/>
          <w:sz w:val="22"/>
          <w:szCs w:val="22"/>
        </w:rPr>
      </w:pPr>
      <w:r>
        <w:rPr>
          <w:rFonts w:ascii="Times New Roman" w:hAnsi="Times New Roman"/>
          <w:b/>
          <w:bCs/>
          <w:sz w:val="22"/>
          <w:szCs w:val="22"/>
        </w:rPr>
        <w:t xml:space="preserve">Podsumowanie: </w:t>
      </w:r>
      <w:r>
        <w:rPr>
          <w:rFonts w:ascii="Times New Roman" w:hAnsi="Times New Roman"/>
          <w:sz w:val="22"/>
          <w:szCs w:val="22"/>
        </w:rPr>
        <w:t>Ludzie mają problem ze zrozumieniem i docenieniem wspaniałej ewangelii Bożego zbawienia, jeśli zaprzeczają rzeczywistości swojego grzesznego stanu albo usiłują ją wybielać i łagodzić.</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b/>
          <w:sz w:val="22"/>
          <w:szCs w:val="22"/>
        </w:rPr>
      </w:pPr>
      <w:r>
        <w:rPr>
          <w:rFonts w:ascii="Times New Roman" w:hAnsi="Times New Roman"/>
          <w:b/>
          <w:sz w:val="22"/>
          <w:szCs w:val="22"/>
        </w:rPr>
        <w:t>Cykl nauczania</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Etap 1 - Motywowanie</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i/>
          <w:iCs/>
          <w:sz w:val="22"/>
          <w:szCs w:val="22"/>
        </w:rPr>
      </w:pPr>
      <w:r>
        <w:rPr>
          <w:rFonts w:ascii="Times New Roman" w:hAnsi="Times New Roman"/>
          <w:b/>
          <w:bCs/>
          <w:sz w:val="22"/>
          <w:szCs w:val="22"/>
        </w:rPr>
        <w:t xml:space="preserve">Tekst biblijny: </w:t>
      </w:r>
      <w:proofErr w:type="spellStart"/>
      <w:r>
        <w:rPr>
          <w:rFonts w:ascii="Times New Roman" w:hAnsi="Times New Roman"/>
          <w:iCs/>
          <w:sz w:val="22"/>
          <w:szCs w:val="22"/>
        </w:rPr>
        <w:t>Rz</w:t>
      </w:r>
      <w:proofErr w:type="spellEnd"/>
      <w:r>
        <w:rPr>
          <w:rFonts w:ascii="Times New Roman" w:hAnsi="Times New Roman"/>
          <w:iCs/>
          <w:sz w:val="22"/>
          <w:szCs w:val="22"/>
        </w:rPr>
        <w:t xml:space="preserve"> 2.</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 xml:space="preserve">Kluczowa koncepcja duchowego rozwoju: </w:t>
      </w:r>
      <w:r>
        <w:rPr>
          <w:rFonts w:ascii="Times New Roman" w:hAnsi="Times New Roman"/>
          <w:sz w:val="22"/>
          <w:szCs w:val="22"/>
        </w:rPr>
        <w:t>Kiedy pewna społeczność zostaje pobłogosławiona czy uprzywilejowana przez Boga, wówczas może mieć trudności z przyznaniem się do własnego grzechu. Grzechy tych poza ową społecznością są przez nią wyolbrzymiane, podczas gdy grzechy członków tej społeczności są minimalizowane czy wypierane. Często zdarza się, że świadomość potrzeby sprawiedliwości Bożej w Chrystusie zostaje wyparta przez zarozumiałość i obłudę.</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bCs/>
          <w:sz w:val="22"/>
          <w:szCs w:val="22"/>
        </w:rPr>
      </w:pPr>
      <w:r>
        <w:rPr>
          <w:rFonts w:ascii="Times New Roman" w:hAnsi="Times New Roman"/>
          <w:b/>
          <w:bCs/>
          <w:sz w:val="22"/>
          <w:szCs w:val="22"/>
        </w:rPr>
        <w:t>Tylko dla nauczyciela:</w:t>
      </w:r>
      <w:r>
        <w:rPr>
          <w:rFonts w:ascii="Times New Roman" w:hAnsi="Times New Roman"/>
          <w:bCs/>
          <w:sz w:val="22"/>
          <w:szCs w:val="22"/>
        </w:rPr>
        <w:t xml:space="preserve"> Celem jest nie dopuścić, by Kościół wpadł w pułapkę podobną do tej, w</w:t>
      </w:r>
      <w:r w:rsidR="00A24236">
        <w:rPr>
          <w:rFonts w:ascii="Times New Roman" w:hAnsi="Times New Roman"/>
          <w:bCs/>
          <w:sz w:val="22"/>
          <w:szCs w:val="22"/>
        </w:rPr>
        <w:t> </w:t>
      </w:r>
      <w:r>
        <w:rPr>
          <w:rFonts w:ascii="Times New Roman" w:hAnsi="Times New Roman"/>
          <w:bCs/>
          <w:sz w:val="22"/>
          <w:szCs w:val="22"/>
        </w:rPr>
        <w:t xml:space="preserve">jaką wpadli ludzie, o których Paweł napisał w </w:t>
      </w:r>
      <w:proofErr w:type="spellStart"/>
      <w:r>
        <w:rPr>
          <w:rFonts w:ascii="Times New Roman" w:hAnsi="Times New Roman"/>
          <w:bCs/>
          <w:sz w:val="22"/>
          <w:szCs w:val="22"/>
        </w:rPr>
        <w:t>Rz</w:t>
      </w:r>
      <w:proofErr w:type="spellEnd"/>
      <w:r>
        <w:rPr>
          <w:rFonts w:ascii="Times New Roman" w:hAnsi="Times New Roman"/>
          <w:bCs/>
          <w:sz w:val="22"/>
          <w:szCs w:val="22"/>
        </w:rPr>
        <w:t xml:space="preserve"> 2. Przyjmowanie podwójnego standardu w kwestii grzechu prowadzi do teologicznej i misyjnej tragedii. Staraj się prowadzić uczestników lekcji do przyznania, że każdy z nas jest osobiście skażony grzesznością. Skorzystaj z mocnych wywodów Pawła (</w:t>
      </w:r>
      <w:proofErr w:type="spellStart"/>
      <w:r>
        <w:rPr>
          <w:rFonts w:ascii="Times New Roman" w:hAnsi="Times New Roman"/>
          <w:bCs/>
          <w:sz w:val="22"/>
          <w:szCs w:val="22"/>
        </w:rPr>
        <w:t>Rz</w:t>
      </w:r>
      <w:proofErr w:type="spellEnd"/>
      <w:r>
        <w:rPr>
          <w:rFonts w:ascii="Times New Roman" w:hAnsi="Times New Roman"/>
          <w:bCs/>
          <w:sz w:val="22"/>
          <w:szCs w:val="22"/>
        </w:rPr>
        <w:t xml:space="preserve"> 2,1-5.23-24), by podkreślić, że zagadnienie to nie jest poboczną kwestią, jako że dotyczy świadectwa Kościoła i charakteru Boga (</w:t>
      </w:r>
      <w:proofErr w:type="spellStart"/>
      <w:r>
        <w:rPr>
          <w:rFonts w:ascii="Times New Roman" w:hAnsi="Times New Roman"/>
          <w:bCs/>
          <w:sz w:val="22"/>
          <w:szCs w:val="22"/>
        </w:rPr>
        <w:t>Rz</w:t>
      </w:r>
      <w:proofErr w:type="spellEnd"/>
      <w:r>
        <w:rPr>
          <w:rFonts w:ascii="Times New Roman" w:hAnsi="Times New Roman"/>
          <w:bCs/>
          <w:sz w:val="22"/>
          <w:szCs w:val="22"/>
        </w:rPr>
        <w:t xml:space="preserve"> 2,24).</w:t>
      </w:r>
    </w:p>
    <w:p w:rsidR="00FF60C8" w:rsidRDefault="00FF60C8" w:rsidP="00FF60C8">
      <w:pPr>
        <w:rPr>
          <w:rFonts w:ascii="Times New Roman" w:hAnsi="Times New Roman"/>
          <w:bCs/>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lastRenderedPageBreak/>
        <w:t xml:space="preserve">Otwarcie dyskusji: </w:t>
      </w:r>
      <w:r>
        <w:rPr>
          <w:rFonts w:ascii="Times New Roman" w:hAnsi="Times New Roman"/>
          <w:sz w:val="22"/>
          <w:szCs w:val="22"/>
        </w:rPr>
        <w:t>Wyolbrzymianie cudzych grzechów i minimalizowanie własnych stało się niemal naszą drugą naturą. Weźmy na przykład proste doświadczenie związane z prowadzeniem samochodu. Czasami reakcje i gniew, które tłumimy jako chrześcijanie, gdy inny kierowca popełnia błąd, są po prostu krępujące. Jednak gdy to my sami popełniamy podobne błędy, po prostu mówimy do siebie: „</w:t>
      </w:r>
      <w:proofErr w:type="spellStart"/>
      <w:r>
        <w:rPr>
          <w:rFonts w:ascii="Times New Roman" w:hAnsi="Times New Roman"/>
          <w:sz w:val="22"/>
          <w:szCs w:val="22"/>
        </w:rPr>
        <w:t>Ups</w:t>
      </w:r>
      <w:proofErr w:type="spellEnd"/>
      <w:r>
        <w:rPr>
          <w:rFonts w:ascii="Times New Roman" w:hAnsi="Times New Roman"/>
          <w:sz w:val="22"/>
          <w:szCs w:val="22"/>
        </w:rPr>
        <w:t xml:space="preserve">! Każdemu może się zdarzyć”. To właśnie ten podwójny standard obnaża Paweł w </w:t>
      </w:r>
      <w:proofErr w:type="spellStart"/>
      <w:r>
        <w:rPr>
          <w:rFonts w:ascii="Times New Roman" w:hAnsi="Times New Roman"/>
          <w:sz w:val="22"/>
          <w:szCs w:val="22"/>
        </w:rPr>
        <w:t>Rz</w:t>
      </w:r>
      <w:proofErr w:type="spellEnd"/>
      <w:r>
        <w:rPr>
          <w:rFonts w:ascii="Times New Roman" w:hAnsi="Times New Roman"/>
          <w:sz w:val="22"/>
          <w:szCs w:val="22"/>
        </w:rPr>
        <w:t xml:space="preserve"> 2 i</w:t>
      </w:r>
      <w:r w:rsidR="00A24236">
        <w:rPr>
          <w:rFonts w:ascii="Times New Roman" w:hAnsi="Times New Roman"/>
          <w:sz w:val="22"/>
          <w:szCs w:val="22"/>
        </w:rPr>
        <w:t> </w:t>
      </w:r>
      <w:r>
        <w:rPr>
          <w:rFonts w:ascii="Times New Roman" w:hAnsi="Times New Roman"/>
          <w:sz w:val="22"/>
          <w:szCs w:val="22"/>
        </w:rPr>
        <w:t xml:space="preserve"> my także powinniśmy obnażyć ten podwójny standard w naszym życiu.</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Pytania do dyskusji</w:t>
      </w:r>
    </w:p>
    <w:p w:rsidR="00FF60C8" w:rsidRDefault="00FF60C8" w:rsidP="00FF60C8">
      <w:pPr>
        <w:rPr>
          <w:rFonts w:ascii="Times New Roman" w:hAnsi="Times New Roman"/>
          <w:sz w:val="22"/>
          <w:szCs w:val="22"/>
        </w:rPr>
      </w:pPr>
      <w:r>
        <w:rPr>
          <w:rFonts w:ascii="Times New Roman" w:hAnsi="Times New Roman"/>
          <w:sz w:val="22"/>
          <w:szCs w:val="22"/>
        </w:rPr>
        <w:t>1. Jak odnoszenie problemu grzechu tylko do niewierzących sprawia, że błędnie stosujemy ewangelię?</w:t>
      </w:r>
    </w:p>
    <w:p w:rsidR="00FF60C8" w:rsidRDefault="00FF60C8" w:rsidP="00FF60C8">
      <w:pPr>
        <w:rPr>
          <w:rFonts w:ascii="Times New Roman" w:hAnsi="Times New Roman"/>
          <w:sz w:val="22"/>
          <w:szCs w:val="22"/>
        </w:rPr>
      </w:pPr>
      <w:r>
        <w:rPr>
          <w:rFonts w:ascii="Times New Roman" w:hAnsi="Times New Roman"/>
          <w:sz w:val="22"/>
          <w:szCs w:val="22"/>
        </w:rPr>
        <w:t>2. Jak podwójny standard w kwestii grzechu i sądu właściwie udaremnia nasze świadectwo wobec świata?</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Etap 2 - Badanie</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 xml:space="preserve">Tylko dla nauczyciela: </w:t>
      </w:r>
      <w:proofErr w:type="spellStart"/>
      <w:r>
        <w:rPr>
          <w:rFonts w:ascii="Times New Roman" w:hAnsi="Times New Roman"/>
          <w:sz w:val="22"/>
          <w:szCs w:val="22"/>
        </w:rPr>
        <w:t>Rz</w:t>
      </w:r>
      <w:proofErr w:type="spellEnd"/>
      <w:r>
        <w:rPr>
          <w:rFonts w:ascii="Times New Roman" w:hAnsi="Times New Roman"/>
          <w:sz w:val="22"/>
          <w:szCs w:val="22"/>
        </w:rPr>
        <w:t xml:space="preserve"> 2 to dość zaniedbany rozdział, wciśnięty między protestancką mantrę - „</w:t>
      </w:r>
      <w:r>
        <w:rPr>
          <w:rFonts w:ascii="Times New Roman" w:hAnsi="Times New Roman"/>
          <w:color w:val="000000"/>
          <w:sz w:val="22"/>
          <w:szCs w:val="22"/>
        </w:rPr>
        <w:t>sprawiedliwy z wiary żyć będzie</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1,17) - a niezaprzeczalny teologiczny klejnot </w:t>
      </w:r>
      <w:proofErr w:type="spellStart"/>
      <w:r>
        <w:rPr>
          <w:rFonts w:ascii="Times New Roman" w:hAnsi="Times New Roman"/>
          <w:sz w:val="22"/>
          <w:szCs w:val="22"/>
        </w:rPr>
        <w:t>Rz</w:t>
      </w:r>
      <w:proofErr w:type="spellEnd"/>
      <w:r>
        <w:rPr>
          <w:rFonts w:ascii="Times New Roman" w:hAnsi="Times New Roman"/>
          <w:sz w:val="22"/>
          <w:szCs w:val="22"/>
        </w:rPr>
        <w:t xml:space="preserve"> 3—8. Uczeni zmagali się i nadal zmagają się z tym, jak wpasować ten rozdział w szerszą teologiczną strukturę księgi. To zamieszanie pozostawia dużo miejsca w </w:t>
      </w:r>
      <w:proofErr w:type="spellStart"/>
      <w:r>
        <w:rPr>
          <w:rFonts w:ascii="Times New Roman" w:hAnsi="Times New Roman"/>
          <w:sz w:val="22"/>
          <w:szCs w:val="22"/>
        </w:rPr>
        <w:t>Rz</w:t>
      </w:r>
      <w:proofErr w:type="spellEnd"/>
      <w:r>
        <w:rPr>
          <w:rFonts w:ascii="Times New Roman" w:hAnsi="Times New Roman"/>
          <w:sz w:val="22"/>
          <w:szCs w:val="22"/>
        </w:rPr>
        <w:t xml:space="preserve"> 2 na dalszą refleksję. Zachęć uczestników lekcji do wykorzystania tej ekscytującej możliwości wkroczenia na niezbadany teren. Podkreśl to, jak konkretne zachowania wymienione w </w:t>
      </w:r>
      <w:proofErr w:type="spellStart"/>
      <w:r>
        <w:rPr>
          <w:rFonts w:ascii="Times New Roman" w:hAnsi="Times New Roman"/>
          <w:sz w:val="22"/>
          <w:szCs w:val="22"/>
        </w:rPr>
        <w:t>Rz</w:t>
      </w:r>
      <w:proofErr w:type="spellEnd"/>
      <w:r>
        <w:rPr>
          <w:rFonts w:ascii="Times New Roman" w:hAnsi="Times New Roman"/>
          <w:sz w:val="22"/>
          <w:szCs w:val="22"/>
        </w:rPr>
        <w:t xml:space="preserve"> 2 wskazują na (1) powszechność problemu grzechu i (2) zakorzenienie nieposłuszeństwa w grzesznej zarozumiałości w podejściu do łaski Bożej.</w:t>
      </w:r>
    </w:p>
    <w:p w:rsidR="00FF60C8" w:rsidRDefault="00FF60C8" w:rsidP="00FF60C8">
      <w:pPr>
        <w:rPr>
          <w:rFonts w:ascii="Times New Roman" w:hAnsi="Times New Roman"/>
          <w:sz w:val="22"/>
          <w:szCs w:val="22"/>
        </w:rPr>
      </w:pPr>
    </w:p>
    <w:p w:rsidR="00FF60C8" w:rsidRPr="00FF60C8" w:rsidRDefault="00FF60C8" w:rsidP="00FF60C8">
      <w:pPr>
        <w:rPr>
          <w:rFonts w:ascii="Times New Roman" w:hAnsi="Times New Roman"/>
          <w:sz w:val="22"/>
          <w:szCs w:val="22"/>
        </w:rPr>
      </w:pPr>
      <w:r w:rsidRPr="00FF60C8">
        <w:rPr>
          <w:rFonts w:ascii="Times New Roman" w:hAnsi="Times New Roman"/>
          <w:b/>
          <w:bCs/>
          <w:sz w:val="22"/>
          <w:szCs w:val="22"/>
        </w:rPr>
        <w:t>Komentarz biblijny</w:t>
      </w:r>
    </w:p>
    <w:p w:rsidR="00FF60C8" w:rsidRP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I. Sędziowie podsądnymi</w:t>
      </w:r>
      <w:r>
        <w:rPr>
          <w:rFonts w:ascii="Times New Roman" w:hAnsi="Times New Roman"/>
          <w:sz w:val="22"/>
          <w:szCs w:val="22"/>
        </w:rPr>
        <w:t xml:space="preserve"> (przeczytaj </w:t>
      </w:r>
      <w:proofErr w:type="spellStart"/>
      <w:r>
        <w:rPr>
          <w:rFonts w:ascii="Times New Roman" w:hAnsi="Times New Roman"/>
          <w:sz w:val="22"/>
          <w:szCs w:val="22"/>
        </w:rPr>
        <w:t>Rz</w:t>
      </w:r>
      <w:proofErr w:type="spellEnd"/>
      <w:r>
        <w:rPr>
          <w:rFonts w:ascii="Times New Roman" w:hAnsi="Times New Roman"/>
          <w:sz w:val="22"/>
          <w:szCs w:val="22"/>
        </w:rPr>
        <w:t xml:space="preserve"> 1,28-30; 2,1-11).</w:t>
      </w:r>
    </w:p>
    <w:p w:rsidR="00FF60C8" w:rsidRDefault="00FF60C8" w:rsidP="00FF60C8">
      <w:pPr>
        <w:rPr>
          <w:rFonts w:ascii="Times New Roman" w:hAnsi="Times New Roman"/>
          <w:sz w:val="22"/>
          <w:szCs w:val="22"/>
        </w:rPr>
      </w:pPr>
      <w:r>
        <w:rPr>
          <w:rFonts w:ascii="Times New Roman" w:hAnsi="Times New Roman"/>
          <w:sz w:val="22"/>
          <w:szCs w:val="22"/>
        </w:rPr>
        <w:t xml:space="preserve">Po wymienieniu listy grzesznych </w:t>
      </w:r>
      <w:proofErr w:type="spellStart"/>
      <w:r>
        <w:rPr>
          <w:rFonts w:ascii="Times New Roman" w:hAnsi="Times New Roman"/>
          <w:sz w:val="22"/>
          <w:szCs w:val="22"/>
        </w:rPr>
        <w:t>zachowań</w:t>
      </w:r>
      <w:proofErr w:type="spellEnd"/>
      <w:r>
        <w:rPr>
          <w:rFonts w:ascii="Times New Roman" w:hAnsi="Times New Roman"/>
          <w:sz w:val="22"/>
          <w:szCs w:val="22"/>
        </w:rPr>
        <w:t xml:space="preserve"> (</w:t>
      </w:r>
      <w:proofErr w:type="spellStart"/>
      <w:r>
        <w:rPr>
          <w:rFonts w:ascii="Times New Roman" w:hAnsi="Times New Roman"/>
          <w:sz w:val="22"/>
          <w:szCs w:val="22"/>
        </w:rPr>
        <w:t>Rz</w:t>
      </w:r>
      <w:proofErr w:type="spellEnd"/>
      <w:r>
        <w:rPr>
          <w:rFonts w:ascii="Times New Roman" w:hAnsi="Times New Roman"/>
          <w:sz w:val="22"/>
          <w:szCs w:val="22"/>
        </w:rPr>
        <w:t xml:space="preserve"> 1,23-31) Paweł przystępuje do dalszej denuncjacji. Pisze, że grzechy te są nie tylko bezczelnie popełniane, ale ponadto grzesznicy otrzymują pełne uznanie ze strony tych, którzy te grzechy popełniają (</w:t>
      </w:r>
      <w:proofErr w:type="spellStart"/>
      <w:r>
        <w:rPr>
          <w:rFonts w:ascii="Times New Roman" w:hAnsi="Times New Roman"/>
          <w:sz w:val="22"/>
          <w:szCs w:val="22"/>
        </w:rPr>
        <w:t>Rz</w:t>
      </w:r>
      <w:proofErr w:type="spellEnd"/>
      <w:r>
        <w:rPr>
          <w:rFonts w:ascii="Times New Roman" w:hAnsi="Times New Roman"/>
          <w:sz w:val="22"/>
          <w:szCs w:val="22"/>
        </w:rPr>
        <w:t xml:space="preserve"> 1,32). Nie chodzi tu o żadne pretensje do niewinności czy choćby niewiedzy, ale jawny, otwarty bunt!</w:t>
      </w:r>
    </w:p>
    <w:p w:rsidR="00FF60C8" w:rsidRDefault="00FF60C8" w:rsidP="00FF60C8">
      <w:pPr>
        <w:rPr>
          <w:rFonts w:ascii="Times New Roman" w:hAnsi="Times New Roman"/>
          <w:sz w:val="22"/>
          <w:szCs w:val="22"/>
        </w:rPr>
      </w:pPr>
      <w:r>
        <w:rPr>
          <w:rFonts w:ascii="Times New Roman" w:hAnsi="Times New Roman"/>
          <w:sz w:val="22"/>
          <w:szCs w:val="22"/>
        </w:rPr>
        <w:t>Nieco nieoczekiwanie Paweł zwraca się przeciwko temu, kto osądza te grzechy. Używa przy tym środka retorycznego zwanego diatrybą, by przedstawić swój argument niejako w dyskusji z</w:t>
      </w:r>
      <w:r w:rsidR="00A24236">
        <w:rPr>
          <w:rFonts w:ascii="Times New Roman" w:hAnsi="Times New Roman"/>
          <w:sz w:val="22"/>
          <w:szCs w:val="22"/>
        </w:rPr>
        <w:t> </w:t>
      </w:r>
      <w:r>
        <w:rPr>
          <w:rFonts w:ascii="Times New Roman" w:hAnsi="Times New Roman"/>
          <w:sz w:val="22"/>
          <w:szCs w:val="22"/>
        </w:rPr>
        <w:t xml:space="preserve"> wyobrażonym rozmówcą. Rozmówca ten, w przeciwieństwie do tych, którzy </w:t>
      </w:r>
      <w:r>
        <w:rPr>
          <w:rFonts w:ascii="Times New Roman" w:hAnsi="Times New Roman"/>
          <w:i/>
          <w:iCs/>
          <w:sz w:val="22"/>
          <w:szCs w:val="22"/>
        </w:rPr>
        <w:t>pochwalają</w:t>
      </w:r>
      <w:r>
        <w:rPr>
          <w:rFonts w:ascii="Times New Roman" w:hAnsi="Times New Roman"/>
          <w:sz w:val="22"/>
          <w:szCs w:val="22"/>
        </w:rPr>
        <w:t xml:space="preserve"> tak bezczelne grzechy, </w:t>
      </w:r>
      <w:r>
        <w:rPr>
          <w:rFonts w:ascii="Times New Roman" w:hAnsi="Times New Roman"/>
          <w:i/>
          <w:iCs/>
          <w:sz w:val="22"/>
          <w:szCs w:val="22"/>
        </w:rPr>
        <w:t xml:space="preserve">potępia </w:t>
      </w:r>
      <w:r>
        <w:rPr>
          <w:rFonts w:ascii="Times New Roman" w:hAnsi="Times New Roman"/>
          <w:sz w:val="22"/>
          <w:szCs w:val="22"/>
        </w:rPr>
        <w:t>wszelką taką nikczemność (</w:t>
      </w:r>
      <w:proofErr w:type="spellStart"/>
      <w:r>
        <w:rPr>
          <w:rFonts w:ascii="Times New Roman" w:hAnsi="Times New Roman"/>
          <w:sz w:val="22"/>
          <w:szCs w:val="22"/>
        </w:rPr>
        <w:t>Rz</w:t>
      </w:r>
      <w:proofErr w:type="spellEnd"/>
      <w:r>
        <w:rPr>
          <w:rFonts w:ascii="Times New Roman" w:hAnsi="Times New Roman"/>
          <w:sz w:val="22"/>
          <w:szCs w:val="22"/>
        </w:rPr>
        <w:t xml:space="preserve"> 2,1). Jest tylko jeden problem. Ten „sprawiedliwy” sędzia popełnia takie same czyny, jakie potępia, a wraz z tym wnikliwym spostrzeżeniem Paweł wskazuje, że cały świat znajduje się w rozpaczliwym położeniu (</w:t>
      </w:r>
      <w:proofErr w:type="spellStart"/>
      <w:r>
        <w:rPr>
          <w:rFonts w:ascii="Times New Roman" w:hAnsi="Times New Roman"/>
          <w:sz w:val="22"/>
          <w:szCs w:val="22"/>
        </w:rPr>
        <w:t>Rz</w:t>
      </w:r>
      <w:proofErr w:type="spellEnd"/>
      <w:r>
        <w:rPr>
          <w:rFonts w:ascii="Times New Roman" w:hAnsi="Times New Roman"/>
          <w:sz w:val="22"/>
          <w:szCs w:val="22"/>
        </w:rPr>
        <w:t xml:space="preserve"> 3,9), a</w:t>
      </w:r>
      <w:r w:rsidR="00A24236">
        <w:rPr>
          <w:rFonts w:ascii="Times New Roman" w:hAnsi="Times New Roman"/>
          <w:sz w:val="22"/>
          <w:szCs w:val="22"/>
        </w:rPr>
        <w:t> </w:t>
      </w:r>
      <w:r>
        <w:rPr>
          <w:rFonts w:ascii="Times New Roman" w:hAnsi="Times New Roman"/>
          <w:sz w:val="22"/>
          <w:szCs w:val="22"/>
        </w:rPr>
        <w:t xml:space="preserve"> następnie stosuje rozwiązanie ewangelii tak samo do wszystkich ludzi. Żydzi, rzecz jasna reprezentowani przez osądzającego rozmówcę (</w:t>
      </w:r>
      <w:proofErr w:type="spellStart"/>
      <w:r>
        <w:rPr>
          <w:rFonts w:ascii="Times New Roman" w:hAnsi="Times New Roman"/>
          <w:sz w:val="22"/>
          <w:szCs w:val="22"/>
        </w:rPr>
        <w:t>Rz</w:t>
      </w:r>
      <w:proofErr w:type="spellEnd"/>
      <w:r>
        <w:rPr>
          <w:rFonts w:ascii="Times New Roman" w:hAnsi="Times New Roman"/>
          <w:sz w:val="22"/>
          <w:szCs w:val="22"/>
        </w:rPr>
        <w:t xml:space="preserve"> 2,17), oraz poganie z ich długą listą grzechów, jednakowo stoją przed sądem Bożym (</w:t>
      </w:r>
      <w:proofErr w:type="spellStart"/>
      <w:r>
        <w:rPr>
          <w:rFonts w:ascii="Times New Roman" w:hAnsi="Times New Roman"/>
          <w:sz w:val="22"/>
          <w:szCs w:val="22"/>
        </w:rPr>
        <w:t>Rz</w:t>
      </w:r>
      <w:proofErr w:type="spellEnd"/>
      <w:r>
        <w:rPr>
          <w:rFonts w:ascii="Times New Roman" w:hAnsi="Times New Roman"/>
          <w:sz w:val="22"/>
          <w:szCs w:val="22"/>
        </w:rPr>
        <w:t xml:space="preserve"> 2,3.5.16; 3,19).</w:t>
      </w:r>
    </w:p>
    <w:p w:rsidR="00FF60C8" w:rsidRDefault="00FF60C8" w:rsidP="00FF60C8">
      <w:pPr>
        <w:rPr>
          <w:rFonts w:ascii="Times New Roman" w:hAnsi="Times New Roman"/>
          <w:sz w:val="22"/>
          <w:szCs w:val="22"/>
        </w:rPr>
      </w:pPr>
      <w:r>
        <w:rPr>
          <w:rFonts w:ascii="Times New Roman" w:hAnsi="Times New Roman"/>
          <w:sz w:val="22"/>
          <w:szCs w:val="22"/>
        </w:rPr>
        <w:t>Nasuwa się pytanie, jak ludzie, którzy posiadają dość wiedzy, by potępiać grzech, mogą liczyć na to, że „</w:t>
      </w:r>
      <w:r>
        <w:rPr>
          <w:rFonts w:ascii="Times New Roman" w:hAnsi="Times New Roman"/>
          <w:color w:val="000000"/>
          <w:sz w:val="22"/>
          <w:szCs w:val="22"/>
        </w:rPr>
        <w:t>ujdą sądu Bożego</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2,3), skoro popełniają takie same grzechy. Na to pytanie odpowiemy w komentarzu poniżej.</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 xml:space="preserve">Do rozważenia: </w:t>
      </w:r>
      <w:r>
        <w:rPr>
          <w:rFonts w:ascii="Times New Roman" w:hAnsi="Times New Roman"/>
          <w:sz w:val="22"/>
          <w:szCs w:val="22"/>
        </w:rPr>
        <w:t>Jak podejście Pawła polegające na ukazaniu ludzkości jako znajdującej się „pod wpływem grzechu” (</w:t>
      </w:r>
      <w:proofErr w:type="spellStart"/>
      <w:r>
        <w:rPr>
          <w:rFonts w:ascii="Times New Roman" w:hAnsi="Times New Roman"/>
          <w:sz w:val="22"/>
          <w:szCs w:val="22"/>
        </w:rPr>
        <w:t>Rz</w:t>
      </w:r>
      <w:proofErr w:type="spellEnd"/>
      <w:r>
        <w:rPr>
          <w:rFonts w:ascii="Times New Roman" w:hAnsi="Times New Roman"/>
          <w:sz w:val="22"/>
          <w:szCs w:val="22"/>
        </w:rPr>
        <w:t xml:space="preserve"> 3,9) powinno na zawsze zmienić twoją postawę wobec grzechów innych ludzi? Jaka cecha charakteru powinna być pielęgnowana w postawie wobec grzechów, jakie popełniają ludzie wokół nas? Czy cecha ta może nam pomóc także właściwie podchodzić do własnych grzechów?</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II. Fałszywe bezpieczeństwo</w:t>
      </w:r>
      <w:r>
        <w:rPr>
          <w:rFonts w:ascii="Times New Roman" w:hAnsi="Times New Roman"/>
          <w:sz w:val="22"/>
          <w:szCs w:val="22"/>
        </w:rPr>
        <w:t xml:space="preserve"> (przeczytaj </w:t>
      </w:r>
      <w:proofErr w:type="spellStart"/>
      <w:r>
        <w:rPr>
          <w:rFonts w:ascii="Times New Roman" w:hAnsi="Times New Roman"/>
          <w:sz w:val="22"/>
          <w:szCs w:val="22"/>
        </w:rPr>
        <w:t>Rz</w:t>
      </w:r>
      <w:proofErr w:type="spellEnd"/>
      <w:r>
        <w:rPr>
          <w:rFonts w:ascii="Times New Roman" w:hAnsi="Times New Roman"/>
          <w:sz w:val="22"/>
          <w:szCs w:val="22"/>
        </w:rPr>
        <w:t xml:space="preserve"> 2,17-29; 3,1).</w:t>
      </w:r>
    </w:p>
    <w:p w:rsidR="00FF60C8" w:rsidRDefault="00FF60C8" w:rsidP="00FF60C8">
      <w:pPr>
        <w:rPr>
          <w:rFonts w:ascii="Times New Roman" w:hAnsi="Times New Roman"/>
          <w:sz w:val="22"/>
          <w:szCs w:val="22"/>
        </w:rPr>
      </w:pPr>
      <w:r>
        <w:rPr>
          <w:rFonts w:ascii="Times New Roman" w:hAnsi="Times New Roman"/>
          <w:sz w:val="22"/>
          <w:szCs w:val="22"/>
        </w:rPr>
        <w:t xml:space="preserve">Zazwyczaj wyjaśnia się </w:t>
      </w:r>
      <w:proofErr w:type="spellStart"/>
      <w:r>
        <w:rPr>
          <w:rFonts w:ascii="Times New Roman" w:hAnsi="Times New Roman"/>
          <w:sz w:val="22"/>
          <w:szCs w:val="22"/>
        </w:rPr>
        <w:t>Rz</w:t>
      </w:r>
      <w:proofErr w:type="spellEnd"/>
      <w:r>
        <w:rPr>
          <w:rFonts w:ascii="Times New Roman" w:hAnsi="Times New Roman"/>
          <w:sz w:val="22"/>
          <w:szCs w:val="22"/>
        </w:rPr>
        <w:t xml:space="preserve"> 1—2 jako ukazanie zarówno pogan jak i Izraelitów znajdujących się pod panowaniem grzechu, po to, by zastosować wobec nich wszystkich ewangelię w rozdziale 3. To podejście zostało podkreślone także w lekcji. Jednak w </w:t>
      </w:r>
      <w:proofErr w:type="spellStart"/>
      <w:r>
        <w:rPr>
          <w:rFonts w:ascii="Times New Roman" w:hAnsi="Times New Roman"/>
          <w:sz w:val="22"/>
          <w:szCs w:val="22"/>
        </w:rPr>
        <w:t>Rz</w:t>
      </w:r>
      <w:proofErr w:type="spellEnd"/>
      <w:r>
        <w:rPr>
          <w:rFonts w:ascii="Times New Roman" w:hAnsi="Times New Roman"/>
          <w:sz w:val="22"/>
          <w:szCs w:val="22"/>
        </w:rPr>
        <w:t xml:space="preserve"> 2 przedstawione zostało także poczucie fałszywego bezpieczeństwa odwołującego się do łaskawości Boga. To fałszywe bezpieczeństwo </w:t>
      </w:r>
      <w:r>
        <w:rPr>
          <w:rFonts w:ascii="Times New Roman" w:hAnsi="Times New Roman"/>
          <w:sz w:val="22"/>
          <w:szCs w:val="22"/>
        </w:rPr>
        <w:lastRenderedPageBreak/>
        <w:t>uniemożliwia szczere posłuszeństwo wobec Boga, a jednocześnie zajmuje miejsce prawdziwej „</w:t>
      </w:r>
      <w:r>
        <w:rPr>
          <w:rFonts w:ascii="Times New Roman" w:hAnsi="Times New Roman"/>
          <w:color w:val="000000"/>
          <w:sz w:val="22"/>
          <w:szCs w:val="22"/>
        </w:rPr>
        <w:t>łaski jego, przez odkupienie w Chrystusie Jezusie</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3,24).</w:t>
      </w:r>
    </w:p>
    <w:p w:rsidR="00FF60C8" w:rsidRDefault="00FF60C8" w:rsidP="00FF60C8">
      <w:pPr>
        <w:rPr>
          <w:rFonts w:ascii="Times New Roman" w:hAnsi="Times New Roman"/>
          <w:sz w:val="22"/>
          <w:szCs w:val="22"/>
        </w:rPr>
      </w:pPr>
      <w:r>
        <w:rPr>
          <w:rFonts w:ascii="Times New Roman" w:hAnsi="Times New Roman"/>
          <w:sz w:val="22"/>
          <w:szCs w:val="22"/>
        </w:rPr>
        <w:t xml:space="preserve">Aby odpowiedzieć na pytanie, które zadaliśmy powyżej, zacznijmy jeszcze raz zadając je ponownie: Jak wyobrażony rozmówca Pawła i ci, których reprezentuje, zamierzają uniknąć sądu Bożego? Odpowiedź na to pytanie jest teologiczną konstrukcję opartą na charakterze Boga jako dobrego, cierpliwego i wyrozumiałego wobec </w:t>
      </w:r>
      <w:r>
        <w:rPr>
          <w:rFonts w:ascii="Times New Roman" w:hAnsi="Times New Roman"/>
          <w:i/>
          <w:iCs/>
          <w:sz w:val="22"/>
          <w:szCs w:val="22"/>
        </w:rPr>
        <w:t>nich</w:t>
      </w:r>
      <w:r>
        <w:rPr>
          <w:rFonts w:ascii="Times New Roman" w:hAnsi="Times New Roman"/>
          <w:sz w:val="22"/>
          <w:szCs w:val="22"/>
        </w:rPr>
        <w:t xml:space="preserve"> (ale nie wobec pogan), minimalizującą sąd Boży nad nimi (ale nie poganami) (</w:t>
      </w:r>
      <w:proofErr w:type="spellStart"/>
      <w:r>
        <w:rPr>
          <w:rFonts w:ascii="Times New Roman" w:hAnsi="Times New Roman"/>
          <w:sz w:val="22"/>
          <w:szCs w:val="22"/>
        </w:rPr>
        <w:t>Rz</w:t>
      </w:r>
      <w:proofErr w:type="spellEnd"/>
      <w:r>
        <w:rPr>
          <w:rFonts w:ascii="Times New Roman" w:hAnsi="Times New Roman"/>
          <w:sz w:val="22"/>
          <w:szCs w:val="22"/>
        </w:rPr>
        <w:t xml:space="preserve"> 2,5). Paweł obnaża to błędne zrozumienie łaskawych cech charakteru Boga, podkreślając, że (1) te cechy charakteru Boga mają prowadzić do skruchy i (2) Bóg „</w:t>
      </w:r>
      <w:r>
        <w:rPr>
          <w:rFonts w:ascii="Times New Roman" w:hAnsi="Times New Roman"/>
          <w:color w:val="000000"/>
          <w:sz w:val="22"/>
          <w:szCs w:val="22"/>
        </w:rPr>
        <w:t>odda każdemu według uczynków jego</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2,6). Innymi słowy, Bóg jest głuchy na wywyższanie Jego łaski, kiedy łaska ta jest używana jako wymówka dla nieposłuszeństwa albo jako przepustka na sądzie bez względu na postępowanie człowieka.</w:t>
      </w:r>
    </w:p>
    <w:p w:rsidR="00FF60C8" w:rsidRDefault="00FF60C8" w:rsidP="00FF60C8">
      <w:pPr>
        <w:rPr>
          <w:rFonts w:ascii="Times New Roman" w:hAnsi="Times New Roman"/>
          <w:sz w:val="22"/>
          <w:szCs w:val="22"/>
        </w:rPr>
      </w:pPr>
      <w:r>
        <w:rPr>
          <w:rFonts w:ascii="Times New Roman" w:hAnsi="Times New Roman"/>
          <w:sz w:val="22"/>
          <w:szCs w:val="22"/>
        </w:rPr>
        <w:t xml:space="preserve">Ten ciąg myślowy ma swoją paralelę w drugiej połowie </w:t>
      </w:r>
      <w:proofErr w:type="spellStart"/>
      <w:r>
        <w:rPr>
          <w:rFonts w:ascii="Times New Roman" w:hAnsi="Times New Roman"/>
          <w:sz w:val="22"/>
          <w:szCs w:val="22"/>
        </w:rPr>
        <w:t>Rz</w:t>
      </w:r>
      <w:proofErr w:type="spellEnd"/>
      <w:r>
        <w:rPr>
          <w:rFonts w:ascii="Times New Roman" w:hAnsi="Times New Roman"/>
          <w:sz w:val="22"/>
          <w:szCs w:val="22"/>
        </w:rPr>
        <w:t xml:space="preserve"> 2. Znajdujemy tam co najmniej dziesięć twierdzeń składających się na uroszczenie szczególnego uprzywilejowania. Na przykład, twierdzenia te obejmują nazywanie się Żydem, chlubienie się Bogiem, bycie wodzem ślepych itd. (</w:t>
      </w:r>
      <w:proofErr w:type="spellStart"/>
      <w:r>
        <w:rPr>
          <w:rFonts w:ascii="Times New Roman" w:hAnsi="Times New Roman"/>
          <w:sz w:val="22"/>
          <w:szCs w:val="22"/>
        </w:rPr>
        <w:t>Rz</w:t>
      </w:r>
      <w:proofErr w:type="spellEnd"/>
      <w:r>
        <w:rPr>
          <w:rFonts w:ascii="Times New Roman" w:hAnsi="Times New Roman"/>
          <w:sz w:val="22"/>
          <w:szCs w:val="22"/>
        </w:rPr>
        <w:t xml:space="preserve"> 2,17-21). Do tej listy możemy dodać znak przymierza w postaci obrzezania (</w:t>
      </w:r>
      <w:proofErr w:type="spellStart"/>
      <w:r>
        <w:rPr>
          <w:rFonts w:ascii="Times New Roman" w:hAnsi="Times New Roman"/>
          <w:sz w:val="22"/>
          <w:szCs w:val="22"/>
        </w:rPr>
        <w:t>Rz</w:t>
      </w:r>
      <w:proofErr w:type="spellEnd"/>
      <w:r>
        <w:rPr>
          <w:rFonts w:ascii="Times New Roman" w:hAnsi="Times New Roman"/>
          <w:sz w:val="22"/>
          <w:szCs w:val="22"/>
        </w:rPr>
        <w:t xml:space="preserve"> 2,25) oraz powierzenie wyroczni Bożych (</w:t>
      </w:r>
      <w:proofErr w:type="spellStart"/>
      <w:r>
        <w:rPr>
          <w:rFonts w:ascii="Times New Roman" w:hAnsi="Times New Roman"/>
          <w:sz w:val="22"/>
          <w:szCs w:val="22"/>
        </w:rPr>
        <w:t>Rz</w:t>
      </w:r>
      <w:proofErr w:type="spellEnd"/>
      <w:r>
        <w:rPr>
          <w:rFonts w:ascii="Times New Roman" w:hAnsi="Times New Roman"/>
          <w:sz w:val="22"/>
          <w:szCs w:val="22"/>
        </w:rPr>
        <w:t xml:space="preserve"> 3,2), przy czym apostoł stwierdza, że bycie Izraelitą daje przewagę „pod każdym względem” (</w:t>
      </w:r>
      <w:proofErr w:type="spellStart"/>
      <w:r>
        <w:rPr>
          <w:rFonts w:ascii="Times New Roman" w:hAnsi="Times New Roman"/>
          <w:sz w:val="22"/>
          <w:szCs w:val="22"/>
        </w:rPr>
        <w:t>Rz</w:t>
      </w:r>
      <w:proofErr w:type="spellEnd"/>
      <w:r>
        <w:rPr>
          <w:rFonts w:ascii="Times New Roman" w:hAnsi="Times New Roman"/>
          <w:sz w:val="22"/>
          <w:szCs w:val="22"/>
        </w:rPr>
        <w:t xml:space="preserve"> 3,2). Jednak poleganie przez Izraelitów na Bożym akcie łaskawego wybrania oraz towarzyszącym mu przywilejom przymierza przy jednoczesnym gwałceniu prawa/przymierza „bezcześci Boga” i sprawia, że poganie bluźnią Bogu (</w:t>
      </w:r>
      <w:proofErr w:type="spellStart"/>
      <w:r>
        <w:rPr>
          <w:rFonts w:ascii="Times New Roman" w:hAnsi="Times New Roman"/>
          <w:sz w:val="22"/>
          <w:szCs w:val="22"/>
        </w:rPr>
        <w:t>Rz</w:t>
      </w:r>
      <w:proofErr w:type="spellEnd"/>
      <w:r>
        <w:rPr>
          <w:rFonts w:ascii="Times New Roman" w:hAnsi="Times New Roman"/>
          <w:sz w:val="22"/>
          <w:szCs w:val="22"/>
        </w:rPr>
        <w:t xml:space="preserve"> 2,23-24).</w:t>
      </w:r>
    </w:p>
    <w:p w:rsidR="00FF60C8" w:rsidRDefault="00FF60C8" w:rsidP="00FF60C8">
      <w:pPr>
        <w:rPr>
          <w:rFonts w:ascii="Times New Roman" w:hAnsi="Times New Roman"/>
          <w:sz w:val="22"/>
          <w:szCs w:val="22"/>
        </w:rPr>
      </w:pPr>
      <w:r>
        <w:rPr>
          <w:rFonts w:ascii="Times New Roman" w:hAnsi="Times New Roman"/>
          <w:sz w:val="22"/>
          <w:szCs w:val="22"/>
        </w:rPr>
        <w:t>Sposób, w jaki Paweł przeciwstawia się temu podwójnemu standardowi polega na przywołaniu koncepcji, która przysparza nieustannego bólu głowy biblistom. Paweł po prostu w środku rozdziału stwierdza: „</w:t>
      </w:r>
      <w:r>
        <w:rPr>
          <w:rFonts w:ascii="Times New Roman" w:hAnsi="Times New Roman"/>
          <w:color w:val="000000"/>
          <w:sz w:val="22"/>
          <w:szCs w:val="22"/>
        </w:rPr>
        <w:t>Nie ci bowiem, którzy przysłuchują się czytaniu Prawa [Izraelici], są sprawiedliwi wobec Boga, ale ci, którzy Prawo wypełniają [zarówno Izraelici, jak i poganie], będą usprawiedliwieni</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2,13 BT). Gdyby Bóg nie postępował w ten sposób, to korzystny wynik sądu byłby zagwarantowany jedynie Izraelitom, gdyż żaden poganin nie mógłby powoływać się na etniczne ani religijne błogosławieństwa (w tym np. słuchanie prawa) dane Izraelowi. Ale według Pawła tak być nie może. Bóg nikogo nie faworyzuje, gdyż „</w:t>
      </w:r>
      <w:r>
        <w:rPr>
          <w:rFonts w:ascii="Times New Roman" w:hAnsi="Times New Roman"/>
          <w:color w:val="000000"/>
          <w:sz w:val="22"/>
          <w:szCs w:val="22"/>
        </w:rPr>
        <w:t>u Boga nie ma względu na osobę</w:t>
      </w:r>
      <w:r>
        <w:rPr>
          <w:rFonts w:ascii="Times New Roman" w:hAnsi="Times New Roman"/>
          <w:sz w:val="22"/>
          <w:szCs w:val="22"/>
        </w:rPr>
        <w:t>” (</w:t>
      </w:r>
      <w:proofErr w:type="spellStart"/>
      <w:r>
        <w:rPr>
          <w:rFonts w:ascii="Times New Roman" w:hAnsi="Times New Roman"/>
          <w:sz w:val="22"/>
          <w:szCs w:val="22"/>
        </w:rPr>
        <w:t>Rz</w:t>
      </w:r>
      <w:proofErr w:type="spellEnd"/>
      <w:r>
        <w:rPr>
          <w:rFonts w:ascii="Times New Roman" w:hAnsi="Times New Roman"/>
          <w:sz w:val="22"/>
          <w:szCs w:val="22"/>
        </w:rPr>
        <w:t xml:space="preserve"> 2,11).</w:t>
      </w:r>
    </w:p>
    <w:p w:rsidR="00FF60C8" w:rsidRDefault="00FF60C8" w:rsidP="00FF60C8">
      <w:pPr>
        <w:rPr>
          <w:rFonts w:ascii="Times New Roman" w:hAnsi="Times New Roman"/>
          <w:sz w:val="22"/>
          <w:szCs w:val="22"/>
        </w:rPr>
      </w:pPr>
      <w:r>
        <w:rPr>
          <w:rFonts w:ascii="Times New Roman" w:hAnsi="Times New Roman"/>
          <w:sz w:val="22"/>
          <w:szCs w:val="22"/>
        </w:rPr>
        <w:t>Wszystkie te korzyści z bycia szczególnym Bożym ludem przymierza niewiele się liczą, kiedy prawo jest łamane. Obrzezanie może się okazać daremne (</w:t>
      </w:r>
      <w:proofErr w:type="spellStart"/>
      <w:r>
        <w:rPr>
          <w:rFonts w:ascii="Times New Roman" w:hAnsi="Times New Roman"/>
          <w:sz w:val="22"/>
          <w:szCs w:val="22"/>
        </w:rPr>
        <w:t>Rz</w:t>
      </w:r>
      <w:proofErr w:type="spellEnd"/>
      <w:r>
        <w:rPr>
          <w:rFonts w:ascii="Times New Roman" w:hAnsi="Times New Roman"/>
          <w:sz w:val="22"/>
          <w:szCs w:val="22"/>
        </w:rPr>
        <w:t xml:space="preserve"> 2,25), a izraelskie pochodzenie może nie zdać się na nic (</w:t>
      </w:r>
      <w:proofErr w:type="spellStart"/>
      <w:r>
        <w:rPr>
          <w:rFonts w:ascii="Times New Roman" w:hAnsi="Times New Roman"/>
          <w:sz w:val="22"/>
          <w:szCs w:val="22"/>
        </w:rPr>
        <w:t>Rz</w:t>
      </w:r>
      <w:proofErr w:type="spellEnd"/>
      <w:r>
        <w:rPr>
          <w:rFonts w:ascii="Times New Roman" w:hAnsi="Times New Roman"/>
          <w:sz w:val="22"/>
          <w:szCs w:val="22"/>
        </w:rPr>
        <w:t xml:space="preserve"> 2,28).</w:t>
      </w:r>
    </w:p>
    <w:p w:rsidR="00FF60C8" w:rsidRDefault="00FF60C8" w:rsidP="00FF60C8">
      <w:pPr>
        <w:rPr>
          <w:rFonts w:ascii="Times New Roman" w:hAnsi="Times New Roman"/>
          <w:sz w:val="22"/>
          <w:szCs w:val="22"/>
        </w:rPr>
      </w:pPr>
      <w:r>
        <w:rPr>
          <w:rFonts w:ascii="Times New Roman" w:hAnsi="Times New Roman"/>
          <w:sz w:val="22"/>
          <w:szCs w:val="22"/>
        </w:rPr>
        <w:t>Krótko mówiąc, łaska Boża okazana Izraelitom niestety i niepotrzebnie doprowadziła ich do zuchwałego zaślepienia na ich grzech i obłudę, zwłaszcza w ich postawie wobec pogan. Paweł jako swego rodzaju odpowiednik Jana Chrzciciela po drugiej stronie Golgoty rozwija ten argument, aby przygotować drogę dla ewangelii Bożej w Chrystusie w kolejnych rozdziałach - ewangelii dla Izraelity i poganina, dla ciebie i mnie.</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 xml:space="preserve">Pytanie do dyskusji: </w:t>
      </w:r>
      <w:r>
        <w:rPr>
          <w:rFonts w:ascii="Times New Roman" w:hAnsi="Times New Roman"/>
          <w:sz w:val="22"/>
          <w:szCs w:val="22"/>
        </w:rPr>
        <w:t>Jakie teologiczne płaszcze fałszywego poczucia bezpieczeństwa stosują współcześni chrześcijanie stawiając przez to bariery pełnemu przyjęciu ewangelii?</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Etap 3 - Zastosowanie</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bCs/>
          <w:sz w:val="22"/>
          <w:szCs w:val="22"/>
        </w:rPr>
      </w:pPr>
      <w:r>
        <w:rPr>
          <w:rFonts w:ascii="Times New Roman" w:hAnsi="Times New Roman"/>
          <w:b/>
          <w:bCs/>
          <w:sz w:val="22"/>
          <w:szCs w:val="22"/>
        </w:rPr>
        <w:t>Tylko dla nauczyciela:</w:t>
      </w:r>
      <w:r>
        <w:rPr>
          <w:rFonts w:ascii="Times New Roman" w:hAnsi="Times New Roman"/>
          <w:bCs/>
          <w:sz w:val="22"/>
          <w:szCs w:val="22"/>
        </w:rPr>
        <w:t xml:space="preserve"> „Tania łaska”, obłuda i lekceważenie potrzeby przestrzegania prawa to zasadnicze problemy współczesnego Kościoła chrześcijańskiego. Jak na ironię, </w:t>
      </w:r>
      <w:r>
        <w:rPr>
          <w:rFonts w:ascii="Times New Roman" w:hAnsi="Times New Roman"/>
          <w:bCs/>
          <w:i/>
          <w:iCs/>
          <w:sz w:val="22"/>
          <w:szCs w:val="22"/>
        </w:rPr>
        <w:t>List do Rzymian</w:t>
      </w:r>
      <w:r>
        <w:rPr>
          <w:rFonts w:ascii="Times New Roman" w:hAnsi="Times New Roman"/>
          <w:bCs/>
          <w:sz w:val="22"/>
          <w:szCs w:val="22"/>
        </w:rPr>
        <w:t xml:space="preserve"> jest często wykorzystywany na poparcie antynomicznych poglądów. Zachęć uczestników lekcji do rozważenia ich aktualnych symboli statusu (przynależności religijnej, wyższości etnicznej itp.), które mogą blokować w nas świadomość, iż jesteśmy grzesznikami rozpaczliwie potrzebującymi Chrystusa.</w:t>
      </w:r>
    </w:p>
    <w:p w:rsidR="00FF60C8" w:rsidRDefault="00FF60C8" w:rsidP="00FF60C8">
      <w:pPr>
        <w:rPr>
          <w:rFonts w:ascii="Times New Roman" w:hAnsi="Times New Roman"/>
          <w:bCs/>
          <w:sz w:val="22"/>
          <w:szCs w:val="22"/>
        </w:rPr>
      </w:pPr>
    </w:p>
    <w:p w:rsidR="00A24236" w:rsidRDefault="00FF60C8" w:rsidP="00FF60C8">
      <w:pPr>
        <w:rPr>
          <w:rFonts w:ascii="Times New Roman" w:hAnsi="Times New Roman"/>
          <w:sz w:val="22"/>
          <w:szCs w:val="22"/>
        </w:rPr>
      </w:pPr>
      <w:r>
        <w:rPr>
          <w:rFonts w:ascii="Times New Roman" w:hAnsi="Times New Roman"/>
          <w:b/>
          <w:bCs/>
          <w:sz w:val="22"/>
          <w:szCs w:val="22"/>
        </w:rPr>
        <w:t>Pytanie do przemyślenia:</w:t>
      </w:r>
      <w:r>
        <w:rPr>
          <w:rFonts w:ascii="Times New Roman" w:hAnsi="Times New Roman"/>
          <w:sz w:val="22"/>
          <w:szCs w:val="22"/>
        </w:rPr>
        <w:t xml:space="preserve"> Jak możemy dostrzec fakt, iż nasz Kościół został szczególnie pobłogosławiony przez Boga, a jednocześnie nie popadać w kompleks wyższości, w jaki popadli starożytni Izraelici?</w:t>
      </w:r>
    </w:p>
    <w:p w:rsidR="00A24236" w:rsidRDefault="00A24236">
      <w:pPr>
        <w:spacing w:after="160" w:line="259" w:lineRule="auto"/>
        <w:ind w:firstLine="0"/>
        <w:jc w:val="left"/>
        <w:rPr>
          <w:rFonts w:ascii="Times New Roman" w:hAnsi="Times New Roman"/>
          <w:sz w:val="22"/>
          <w:szCs w:val="22"/>
        </w:rPr>
      </w:pPr>
      <w:r>
        <w:rPr>
          <w:rFonts w:ascii="Times New Roman" w:hAnsi="Times New Roman"/>
          <w:sz w:val="22"/>
          <w:szCs w:val="22"/>
        </w:rPr>
        <w:br w:type="page"/>
      </w: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Etap 4 - Tworzenie</w:t>
      </w:r>
    </w:p>
    <w:p w:rsidR="00FF60C8" w:rsidRDefault="00FF60C8" w:rsidP="00FF60C8">
      <w:pPr>
        <w:rPr>
          <w:rFonts w:ascii="Times New Roman" w:hAnsi="Times New Roman"/>
          <w:sz w:val="22"/>
          <w:szCs w:val="22"/>
        </w:rPr>
      </w:pPr>
    </w:p>
    <w:p w:rsidR="00FF60C8" w:rsidRDefault="00FF60C8" w:rsidP="00FF60C8">
      <w:pPr>
        <w:rPr>
          <w:rFonts w:ascii="Times New Roman" w:hAnsi="Times New Roman"/>
          <w:bCs/>
          <w:sz w:val="22"/>
          <w:szCs w:val="22"/>
        </w:rPr>
      </w:pPr>
      <w:r>
        <w:rPr>
          <w:rFonts w:ascii="Times New Roman" w:hAnsi="Times New Roman"/>
          <w:b/>
          <w:bCs/>
          <w:sz w:val="22"/>
          <w:szCs w:val="22"/>
        </w:rPr>
        <w:t>Tylko dla nauczyciela:</w:t>
      </w:r>
      <w:r>
        <w:rPr>
          <w:rFonts w:ascii="Times New Roman" w:hAnsi="Times New Roman"/>
          <w:bCs/>
          <w:sz w:val="22"/>
          <w:szCs w:val="22"/>
        </w:rPr>
        <w:t xml:space="preserve"> Porównaj łatwość, z jaką przychodzi nam wytykanie cudzych grzechów (</w:t>
      </w:r>
      <w:proofErr w:type="spellStart"/>
      <w:r>
        <w:rPr>
          <w:rFonts w:ascii="Times New Roman" w:hAnsi="Times New Roman"/>
          <w:bCs/>
          <w:sz w:val="22"/>
          <w:szCs w:val="22"/>
        </w:rPr>
        <w:t>Rz</w:t>
      </w:r>
      <w:proofErr w:type="spellEnd"/>
      <w:r>
        <w:rPr>
          <w:rFonts w:ascii="Times New Roman" w:hAnsi="Times New Roman"/>
          <w:bCs/>
          <w:sz w:val="22"/>
          <w:szCs w:val="22"/>
        </w:rPr>
        <w:t xml:space="preserve"> 1,18-22) z niezwykłą trudnością, z jaką zauważamy własne grzechy (</w:t>
      </w:r>
      <w:proofErr w:type="spellStart"/>
      <w:r>
        <w:rPr>
          <w:rFonts w:ascii="Times New Roman" w:hAnsi="Times New Roman"/>
          <w:bCs/>
          <w:sz w:val="22"/>
          <w:szCs w:val="22"/>
        </w:rPr>
        <w:t>Rz</w:t>
      </w:r>
      <w:proofErr w:type="spellEnd"/>
      <w:r>
        <w:rPr>
          <w:rFonts w:ascii="Times New Roman" w:hAnsi="Times New Roman"/>
          <w:bCs/>
          <w:sz w:val="22"/>
          <w:szCs w:val="22"/>
        </w:rPr>
        <w:t xml:space="preserve"> 2,1.21-24). Celem jest, by uczestnicy lekcji głęboko zastanowili się nad sobą i odczuli pokorę wobec Boga. Wskaż kierunek w tym doświadczeniu i pierwszy podziel się swoimi spostrzeżeniami.</w:t>
      </w:r>
    </w:p>
    <w:p w:rsidR="00FF60C8" w:rsidRDefault="00FF60C8" w:rsidP="00FF60C8">
      <w:pPr>
        <w:rPr>
          <w:rFonts w:ascii="Times New Roman" w:hAnsi="Times New Roman"/>
          <w:bCs/>
          <w:sz w:val="22"/>
          <w:szCs w:val="22"/>
        </w:rPr>
      </w:pPr>
    </w:p>
    <w:p w:rsidR="00FF60C8" w:rsidRDefault="00FF60C8" w:rsidP="00FF60C8">
      <w:pPr>
        <w:rPr>
          <w:rFonts w:ascii="Times New Roman" w:hAnsi="Times New Roman"/>
          <w:sz w:val="22"/>
          <w:szCs w:val="22"/>
        </w:rPr>
      </w:pPr>
      <w:r>
        <w:rPr>
          <w:rFonts w:ascii="Times New Roman" w:hAnsi="Times New Roman"/>
          <w:b/>
          <w:bCs/>
          <w:sz w:val="22"/>
          <w:szCs w:val="22"/>
        </w:rPr>
        <w:t>Zadania</w:t>
      </w:r>
    </w:p>
    <w:p w:rsidR="00FF60C8" w:rsidRDefault="00FF60C8" w:rsidP="00FF60C8">
      <w:pPr>
        <w:rPr>
          <w:rFonts w:ascii="Times New Roman" w:hAnsi="Times New Roman"/>
          <w:sz w:val="22"/>
          <w:szCs w:val="22"/>
        </w:rPr>
      </w:pPr>
      <w:r>
        <w:rPr>
          <w:rFonts w:ascii="Times New Roman" w:hAnsi="Times New Roman"/>
          <w:sz w:val="22"/>
          <w:szCs w:val="22"/>
        </w:rPr>
        <w:t>1. Zaproś odważne osoby, by podzieliły się swoim świadectwem, jak Bóg objawił im ich uprzedzenia i jak łaskawie wyzwolił ich z tej postawy.</w:t>
      </w:r>
    </w:p>
    <w:p w:rsidR="00FF60C8" w:rsidRDefault="00FF60C8" w:rsidP="00FF60C8">
      <w:pPr>
        <w:rPr>
          <w:rFonts w:ascii="Times New Roman" w:hAnsi="Times New Roman"/>
          <w:sz w:val="22"/>
          <w:szCs w:val="22"/>
        </w:rPr>
      </w:pPr>
      <w:r>
        <w:rPr>
          <w:rFonts w:ascii="Times New Roman" w:hAnsi="Times New Roman"/>
          <w:sz w:val="22"/>
          <w:szCs w:val="22"/>
        </w:rPr>
        <w:t xml:space="preserve">2. Wspólnym doświadczeniem adwentystów dnia siódmego jest to, iż są nazywani legalistami, bo przestrzegają biblijnego szabatu. Zachęć uczestników lekcji, by na podstawie </w:t>
      </w:r>
      <w:proofErr w:type="spellStart"/>
      <w:r>
        <w:rPr>
          <w:rFonts w:ascii="Times New Roman" w:hAnsi="Times New Roman"/>
          <w:sz w:val="22"/>
          <w:szCs w:val="22"/>
        </w:rPr>
        <w:t>Rz</w:t>
      </w:r>
      <w:proofErr w:type="spellEnd"/>
      <w:r>
        <w:rPr>
          <w:rFonts w:ascii="Times New Roman" w:hAnsi="Times New Roman"/>
          <w:sz w:val="22"/>
          <w:szCs w:val="22"/>
        </w:rPr>
        <w:t xml:space="preserve"> 2 wykazali obłudę twierdzenia, iż jest się zbawionym pomimo jawnego lekceważenia prawa Bożego.</w:t>
      </w:r>
    </w:p>
    <w:p w:rsidR="00B8589E" w:rsidRPr="00896DEA" w:rsidRDefault="00B8589E" w:rsidP="00B8589E">
      <w:pPr>
        <w:rPr>
          <w:rFonts w:ascii="Times New Roman" w:hAnsi="Times New Roman"/>
          <w:sz w:val="22"/>
          <w:szCs w:val="22"/>
        </w:rPr>
      </w:pPr>
    </w:p>
    <w:sectPr w:rsidR="00B8589E" w:rsidRPr="00896DE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5983" w:rsidRDefault="00BC5983" w:rsidP="00B8589E">
      <w:r>
        <w:separator/>
      </w:r>
    </w:p>
  </w:endnote>
  <w:endnote w:type="continuationSeparator" w:id="0">
    <w:p w:rsidR="00BC5983" w:rsidRDefault="00BC5983" w:rsidP="00B85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panose1 w:val="02020600040205080304"/>
    <w:charset w:val="80"/>
    <w:family w:val="roman"/>
    <w:pitch w:val="variable"/>
    <w:sig w:usb0="E00002FF" w:usb1="6AC7FDFB" w:usb2="00000012" w:usb3="00000000" w:csb0="0002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16"/>
        <w:szCs w:val="16"/>
      </w:rPr>
      <w:id w:val="1853526418"/>
      <w:docPartObj>
        <w:docPartGallery w:val="Page Numbers (Bottom of Page)"/>
        <w:docPartUnique/>
      </w:docPartObj>
    </w:sdtPr>
    <w:sdtEndPr/>
    <w:sdtContent>
      <w:p w:rsidR="00B8589E" w:rsidRPr="00B8589E" w:rsidRDefault="00B8589E">
        <w:pPr>
          <w:pStyle w:val="Stopka"/>
          <w:jc w:val="right"/>
          <w:rPr>
            <w:rFonts w:ascii="Times New Roman" w:hAnsi="Times New Roman"/>
            <w:sz w:val="16"/>
            <w:szCs w:val="16"/>
          </w:rPr>
        </w:pPr>
        <w:r w:rsidRPr="00B8589E">
          <w:rPr>
            <w:rFonts w:ascii="Times New Roman" w:hAnsi="Times New Roman"/>
            <w:sz w:val="16"/>
            <w:szCs w:val="16"/>
          </w:rPr>
          <w:fldChar w:fldCharType="begin"/>
        </w:r>
        <w:r w:rsidRPr="00B8589E">
          <w:rPr>
            <w:rFonts w:ascii="Times New Roman" w:hAnsi="Times New Roman"/>
            <w:sz w:val="16"/>
            <w:szCs w:val="16"/>
          </w:rPr>
          <w:instrText>PAGE   \* MERGEFORMAT</w:instrText>
        </w:r>
        <w:r w:rsidRPr="00B8589E">
          <w:rPr>
            <w:rFonts w:ascii="Times New Roman" w:hAnsi="Times New Roman"/>
            <w:sz w:val="16"/>
            <w:szCs w:val="16"/>
          </w:rPr>
          <w:fldChar w:fldCharType="separate"/>
        </w:r>
        <w:r w:rsidR="00D9317F">
          <w:rPr>
            <w:rFonts w:ascii="Times New Roman" w:hAnsi="Times New Roman"/>
            <w:noProof/>
            <w:sz w:val="16"/>
            <w:szCs w:val="16"/>
          </w:rPr>
          <w:t>4</w:t>
        </w:r>
        <w:r w:rsidRPr="00B8589E">
          <w:rPr>
            <w:rFonts w:ascii="Times New Roman" w:hAnsi="Times New Roman"/>
            <w:sz w:val="16"/>
            <w:szCs w:val="16"/>
          </w:rPr>
          <w:fldChar w:fldCharType="end"/>
        </w:r>
      </w:p>
    </w:sdtContent>
  </w:sdt>
  <w:p w:rsidR="00B8589E" w:rsidRDefault="00B8589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5983" w:rsidRDefault="00BC5983" w:rsidP="00B8589E">
      <w:r>
        <w:separator/>
      </w:r>
    </w:p>
  </w:footnote>
  <w:footnote w:type="continuationSeparator" w:id="0">
    <w:p w:rsidR="00BC5983" w:rsidRDefault="00BC5983" w:rsidP="00B858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589E" w:rsidRDefault="00B8589E" w:rsidP="00B8589E">
    <w:pPr>
      <w:rPr>
        <w:rFonts w:ascii="Times New Roman" w:eastAsia="MS PMincho" w:hAnsi="Times New Roman"/>
        <w:sz w:val="20"/>
        <w:szCs w:val="22"/>
      </w:rPr>
    </w:pPr>
    <w:r w:rsidRPr="00B8589E">
      <w:rPr>
        <w:rFonts w:ascii="Times New Roman" w:eastAsia="MS PMincho" w:hAnsi="Times New Roman"/>
        <w:sz w:val="20"/>
        <w:szCs w:val="22"/>
      </w:rPr>
      <w:t>Lekcje Biblijne 4/2017,</w:t>
    </w:r>
    <w:r>
      <w:rPr>
        <w:rFonts w:ascii="Times New Roman" w:eastAsia="MS PMincho" w:hAnsi="Times New Roman"/>
        <w:sz w:val="20"/>
        <w:szCs w:val="22"/>
      </w:rPr>
      <w:t xml:space="preserve"> „</w:t>
    </w:r>
    <w:r w:rsidRPr="00B8589E">
      <w:rPr>
        <w:rFonts w:ascii="Times New Roman" w:eastAsia="MS PMincho" w:hAnsi="Times New Roman"/>
        <w:sz w:val="20"/>
        <w:szCs w:val="22"/>
      </w:rPr>
      <w:t>List do Rzymian- Zbawienie wyłącznie przez wiarę</w:t>
    </w:r>
    <w:r>
      <w:rPr>
        <w:rFonts w:ascii="Times New Roman" w:eastAsia="MS PMincho" w:hAnsi="Times New Roman"/>
        <w:sz w:val="20"/>
        <w:szCs w:val="22"/>
      </w:rPr>
      <w:t>”</w:t>
    </w:r>
  </w:p>
  <w:p w:rsidR="00B8589E" w:rsidRPr="00B8589E" w:rsidRDefault="00B8589E" w:rsidP="00B8589E">
    <w:pPr>
      <w:rPr>
        <w:rFonts w:ascii="Times New Roman" w:hAnsi="Times New Roman"/>
        <w:sz w:val="20"/>
        <w:szCs w:val="22"/>
      </w:rPr>
    </w:pPr>
    <w:r w:rsidRPr="00B8589E">
      <w:rPr>
        <w:rFonts w:ascii="Times New Roman" w:hAnsi="Times New Roman"/>
        <w:sz w:val="20"/>
        <w:szCs w:val="22"/>
      </w:rPr>
      <w:t>Przewodnik dla nauczycieli</w:t>
    </w:r>
    <w:r>
      <w:rPr>
        <w:rFonts w:ascii="Times New Roman" w:hAnsi="Times New Roman"/>
        <w:sz w:val="20"/>
        <w:szCs w:val="22"/>
      </w:rPr>
      <w:t xml:space="preserve">, Lekcja </w:t>
    </w:r>
    <w:r w:rsidR="00D9317F">
      <w:rPr>
        <w:rFonts w:ascii="Times New Roman" w:hAnsi="Times New Roman"/>
        <w:sz w:val="20"/>
        <w:szCs w:val="22"/>
      </w:rPr>
      <w:t>3</w:t>
    </w:r>
    <w:r>
      <w:rPr>
        <w:rFonts w:ascii="Times New Roman" w:hAnsi="Times New Roman"/>
        <w:sz w:val="20"/>
        <w:szCs w:val="22"/>
      </w:rPr>
      <w:t>, „</w:t>
    </w:r>
    <w:r w:rsidR="00FF60C8">
      <w:rPr>
        <w:rFonts w:ascii="Times New Roman" w:hAnsi="Times New Roman"/>
        <w:sz w:val="20"/>
        <w:szCs w:val="22"/>
      </w:rPr>
      <w:t>Jedność ewangelii</w:t>
    </w:r>
    <w:r>
      <w:rPr>
        <w:rFonts w:ascii="Times New Roman" w:hAnsi="Times New Roman"/>
        <w:sz w:val="20"/>
        <w:szCs w:val="22"/>
      </w:rPr>
      <w:t>”</w:t>
    </w:r>
  </w:p>
  <w:p w:rsidR="00B8589E" w:rsidRDefault="00B8589E">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0AC"/>
    <w:rsid w:val="0002326A"/>
    <w:rsid w:val="000740AC"/>
    <w:rsid w:val="00123950"/>
    <w:rsid w:val="00175FB3"/>
    <w:rsid w:val="00640D7C"/>
    <w:rsid w:val="008354A7"/>
    <w:rsid w:val="0087713C"/>
    <w:rsid w:val="00907AA2"/>
    <w:rsid w:val="00A24236"/>
    <w:rsid w:val="00B8589E"/>
    <w:rsid w:val="00BC5983"/>
    <w:rsid w:val="00BF0426"/>
    <w:rsid w:val="00D137FF"/>
    <w:rsid w:val="00D9317F"/>
    <w:rsid w:val="00E47FCD"/>
    <w:rsid w:val="00FF60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F70837-9DAC-4E0E-86A3-735DE1725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8589E"/>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8589E"/>
    <w:pPr>
      <w:tabs>
        <w:tab w:val="center" w:pos="4536"/>
        <w:tab w:val="right" w:pos="9072"/>
      </w:tabs>
    </w:pPr>
  </w:style>
  <w:style w:type="character" w:customStyle="1" w:styleId="NagwekZnak">
    <w:name w:val="Nagłówek Znak"/>
    <w:basedOn w:val="Domylnaczcionkaakapitu"/>
    <w:link w:val="Nagwek"/>
    <w:uiPriority w:val="99"/>
    <w:rsid w:val="00B8589E"/>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B8589E"/>
    <w:pPr>
      <w:tabs>
        <w:tab w:val="center" w:pos="4536"/>
        <w:tab w:val="right" w:pos="9072"/>
      </w:tabs>
    </w:pPr>
  </w:style>
  <w:style w:type="character" w:customStyle="1" w:styleId="StopkaZnak">
    <w:name w:val="Stopka Znak"/>
    <w:basedOn w:val="Domylnaczcionkaakapitu"/>
    <w:link w:val="Stopka"/>
    <w:uiPriority w:val="99"/>
    <w:rsid w:val="00B8589E"/>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23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1564</Words>
  <Characters>9390</Characters>
  <Application>Microsoft Office Word</Application>
  <DocSecurity>0</DocSecurity>
  <Lines>78</Lines>
  <Paragraphs>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5</cp:revision>
  <dcterms:created xsi:type="dcterms:W3CDTF">2017-09-18T08:55:00Z</dcterms:created>
  <dcterms:modified xsi:type="dcterms:W3CDTF">2017-09-18T09:23:00Z</dcterms:modified>
</cp:coreProperties>
</file>