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C5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F40C65">
        <w:rPr>
          <w:rFonts w:ascii="Times New Roman" w:hAnsi="Times New Roman"/>
          <w:sz w:val="20"/>
        </w:rPr>
        <w:t>6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F40C65">
        <w:rPr>
          <w:rFonts w:ascii="Times New Roman" w:hAnsi="Times New Roman"/>
          <w:sz w:val="20"/>
        </w:rPr>
        <w:t>6 lutego</w:t>
      </w:r>
      <w:r w:rsidR="00E86CB7">
        <w:rPr>
          <w:rFonts w:ascii="Times New Roman" w:hAnsi="Times New Roman"/>
          <w:sz w:val="20"/>
        </w:rPr>
        <w:t xml:space="preserve"> </w:t>
      </w:r>
      <w:r w:rsidR="00C045AF">
        <w:rPr>
          <w:rFonts w:ascii="Times New Roman" w:hAnsi="Times New Roman"/>
          <w:sz w:val="20"/>
        </w:rPr>
        <w:t xml:space="preserve"> </w:t>
      </w:r>
    </w:p>
    <w:p w:rsidR="00A820C9" w:rsidRDefault="00F47047" w:rsidP="00A820C9">
      <w:p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A22AA7" w:rsidRPr="00E86CB7" w:rsidRDefault="00A22AA7" w:rsidP="00E86CB7">
      <w:pPr>
        <w:jc w:val="center"/>
        <w:rPr>
          <w:rFonts w:ascii="Times New Roman" w:hAnsi="Times New Roman"/>
          <w:b/>
          <w:sz w:val="28"/>
          <w:lang w:val="en-US"/>
        </w:rPr>
      </w:pPr>
    </w:p>
    <w:p w:rsidR="00E86CB7" w:rsidRPr="00E86CB7" w:rsidRDefault="00F40C65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Zabawa w Boga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 xml:space="preserve">Przedmiot studium: </w:t>
      </w:r>
      <w:r w:rsidRPr="00EF6A2C">
        <w:rPr>
          <w:rFonts w:ascii="Times New Roman" w:hAnsi="Times New Roman"/>
          <w:iCs/>
          <w:sz w:val="20"/>
        </w:rPr>
        <w:t>Iz 13; 14; 24-27</w:t>
      </w:r>
      <w:r w:rsidRPr="00EF6A2C">
        <w:rPr>
          <w:rFonts w:ascii="Times New Roman" w:hAnsi="Times New Roman"/>
          <w:sz w:val="20"/>
        </w:rPr>
        <w:t>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I: Przegląd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Iz 13-14 rozwija kwestię sądu, w tym motyw dnia Pana. Sąd jest Bożą inicjatywą, która może się wiązać z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ogłoszeniem okresu nieszczęścia albo początku nowej ery radosnego doświadczenia. Sąd może dotyczyć innego narodu (jak w Iz 13-14) albo ludu Bożego. Iz 24 świadczy, że sąd Pana ma powszechne zastosowanie. Iz 25-26 to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część pieśni ogłaszającej odrodzenie Judy, ale zawiera także eschatologiczne znaczenie dla odkupionych w czasie końca.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Rozdział 25 dzieli się na trzy sekcje: (1) chwała dla Boga za zwycięstwo (w. 1-5); (2) uczta dla ludu Bożego (w. 6-8) oraz (3) zwycięstwo Pana nad wrogami (w. 9-12). Iz 26 dotyczy cech odkupionych jako wiernego narodu (w przeciwieństwie do grzesznego narodu, jak w Iz 1), w tym między innymi właśnie wierności.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Trzy główne tematy tego studium to: (1) Sądy Boże, (2) Pewność zwycięstwa oraz (3) Wierny naród.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II: Komentarz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Sądy Boże</w:t>
      </w:r>
      <w:r w:rsidRPr="00EF6A2C">
        <w:rPr>
          <w:rFonts w:ascii="Times New Roman" w:hAnsi="Times New Roman"/>
          <w:sz w:val="20"/>
        </w:rPr>
        <w:t xml:space="preserve">. Pojęcie sądu przewija się raz po raz w prorockich księgach </w:t>
      </w:r>
      <w:r w:rsidRPr="00EF6A2C">
        <w:rPr>
          <w:rFonts w:ascii="Times New Roman" w:hAnsi="Times New Roman"/>
          <w:i/>
          <w:sz w:val="20"/>
        </w:rPr>
        <w:t>Biblii</w:t>
      </w:r>
      <w:r w:rsidRPr="00EF6A2C">
        <w:rPr>
          <w:rFonts w:ascii="Times New Roman" w:hAnsi="Times New Roman"/>
          <w:sz w:val="20"/>
        </w:rPr>
        <w:t xml:space="preserve">. Sąd może położyć kres okresowi nieszczęścia i rozpocząć nowy okres radosnego doświadczenia </w:t>
      </w:r>
      <w:r w:rsidRPr="00EF6A2C">
        <w:rPr>
          <w:rFonts w:ascii="Times New Roman" w:hAnsi="Times New Roman"/>
          <w:iCs/>
          <w:sz w:val="20"/>
          <w:lang w:val="en-GB"/>
        </w:rPr>
        <w:t>(Iz 42,1)</w:t>
      </w:r>
      <w:r w:rsidRPr="00EF6A2C">
        <w:rPr>
          <w:rFonts w:ascii="Times New Roman" w:hAnsi="Times New Roman"/>
          <w:sz w:val="20"/>
        </w:rPr>
        <w:t xml:space="preserve">. Może też przynieść czy oznajmić przyszłe zniszczenie, jak w proroctwach Iz 13-14 i kolejnych rozdziałach. Te dni sądu czasami są ogłaszane przez wyrażenie „dzień Pana”, jak widzimy w pierwszej połowie </w:t>
      </w:r>
      <w:r w:rsidRPr="00EF6A2C">
        <w:rPr>
          <w:rFonts w:ascii="Times New Roman" w:hAnsi="Times New Roman"/>
          <w:i/>
          <w:sz w:val="20"/>
        </w:rPr>
        <w:t>Księgi Izajasza</w:t>
      </w:r>
      <w:r w:rsidRPr="00EF6A2C">
        <w:rPr>
          <w:rFonts w:ascii="Times New Roman" w:hAnsi="Times New Roman"/>
          <w:sz w:val="20"/>
        </w:rPr>
        <w:t>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Dzień Pana może być dniem odrodzenia: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I stanie się w owym dniu, że powołam mojego sługę Eljakima, syna Chilkiasza, i oblokę go w twoją szatę, i przepaszę go twoją szarfą, i twoją władzę złożę w jego ręce, i będzie ojcem dla mieszkańców Jeruzalemu i dla domu judzkiego. I położę na jego ramieniu klucz domu Dawida, i gdy on otworzy, to nikt nie zamknie, a gdy on zamknie, to nikt nie otworzy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22,20-22)</w:t>
      </w:r>
      <w:r w:rsidRPr="00EF6A2C">
        <w:rPr>
          <w:rFonts w:ascii="Times New Roman" w:hAnsi="Times New Roman"/>
          <w:sz w:val="20"/>
        </w:rPr>
        <w:t>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Jednak dzień Pana może być także dniem zniszczenia, jak w Iz 13-14, gdzie zapowiedziane jest zniszczenie Babilonu i Asyrii. Sąd (w tym odwołanie do „dnia”) może mieć negatywne skutki także dla Judy </w:t>
      </w:r>
      <w:r w:rsidRPr="00EF6A2C">
        <w:rPr>
          <w:rFonts w:ascii="Times New Roman" w:hAnsi="Times New Roman"/>
          <w:iCs/>
          <w:sz w:val="20"/>
          <w:lang w:val="en-GB"/>
        </w:rPr>
        <w:t>(Iz 2,12; 3,13-14.18)</w:t>
      </w:r>
      <w:r w:rsidRPr="00EF6A2C">
        <w:rPr>
          <w:rFonts w:ascii="Times New Roman" w:hAnsi="Times New Roman"/>
          <w:sz w:val="20"/>
        </w:rPr>
        <w:t>, ale ta cecha jest częściej widoczna w sądzie nad narodami.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Sąd przychodzi z inicjatywy Boga: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Ja wezwałem moich poświęconych i powołałem moich bohaterów, dumnych z mojej chwały, aby wykonali wyrok mojego sądu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13,3)</w:t>
      </w:r>
      <w:r w:rsidRPr="00EF6A2C">
        <w:rPr>
          <w:rFonts w:ascii="Times New Roman" w:hAnsi="Times New Roman"/>
          <w:sz w:val="20"/>
        </w:rPr>
        <w:t>. Nie jest standardem w języku hebrajskim rozpoczynanie zdania podmiotem, ale raczej czasownikiem, jednak w tym wersecie występuje wyjątek. „Ja” jest tu podkreślone. Z drugiej strony jest to istotny atrybut Boga jako Władcy nad ziemskimi potęgami. Jest to podkreślone także w Iz 14: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Przysiągł Pan Zastępów, mówiąc: Jak pomyślałem, tak się dzieje, i jak postanowiłem, tak się staje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14,24)</w:t>
      </w:r>
      <w:r w:rsidRPr="00EF6A2C">
        <w:rPr>
          <w:rFonts w:ascii="Times New Roman" w:hAnsi="Times New Roman"/>
          <w:sz w:val="20"/>
        </w:rPr>
        <w:t xml:space="preserve">. Z drugiej strony, nawiązując do „Boga Mocnego” w Iz 9,5, autor używa w Iz 13,3 słowa </w:t>
      </w:r>
      <w:r w:rsidRPr="00EF6A2C">
        <w:rPr>
          <w:rFonts w:ascii="Times New Roman" w:eastAsia="Calibri" w:hAnsi="Times New Roman"/>
          <w:i/>
          <w:iCs/>
          <w:sz w:val="20"/>
        </w:rPr>
        <w:t>g̱</w:t>
      </w:r>
      <w:r w:rsidRPr="00EF6A2C">
        <w:rPr>
          <w:rFonts w:ascii="Times New Roman" w:hAnsi="Times New Roman"/>
          <w:i/>
          <w:iCs/>
          <w:sz w:val="20"/>
        </w:rPr>
        <w:t>ibbw</w:t>
      </w:r>
      <w:r w:rsidRPr="00EF6A2C">
        <w:rPr>
          <w:rFonts w:ascii="Times New Roman" w:eastAsia="Calibri" w:hAnsi="Times New Roman"/>
          <w:i/>
          <w:iCs/>
          <w:sz w:val="20"/>
        </w:rPr>
        <w:t>ō</w:t>
      </w:r>
      <w:r w:rsidRPr="00EF6A2C">
        <w:rPr>
          <w:rFonts w:ascii="Times New Roman" w:hAnsi="Times New Roman"/>
          <w:i/>
          <w:iCs/>
          <w:sz w:val="20"/>
        </w:rPr>
        <w:t>r</w:t>
      </w:r>
      <w:r w:rsidRPr="00EF6A2C">
        <w:rPr>
          <w:rFonts w:ascii="Times New Roman" w:hAnsi="Times New Roman"/>
          <w:sz w:val="20"/>
        </w:rPr>
        <w:t xml:space="preserve"> (mocny), nawiązując do Bożych „bohaterów”. Są oni „narzędziami jego grozy” </w:t>
      </w:r>
      <w:r w:rsidRPr="00EF6A2C">
        <w:rPr>
          <w:rFonts w:ascii="Times New Roman" w:hAnsi="Times New Roman"/>
          <w:iCs/>
          <w:sz w:val="20"/>
          <w:lang w:val="en-GB"/>
        </w:rPr>
        <w:t>(Iz 13,5)</w:t>
      </w:r>
      <w:r w:rsidRPr="00EF6A2C">
        <w:rPr>
          <w:rFonts w:ascii="Times New Roman" w:hAnsi="Times New Roman"/>
          <w:sz w:val="20"/>
        </w:rPr>
        <w:t>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Innym ważnym elementem jest nieuchronność sądu. Na przykład: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Bliski jest dzień Pana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13,6)</w:t>
      </w:r>
      <w:r w:rsidRPr="00EF6A2C">
        <w:rPr>
          <w:rFonts w:ascii="Times New Roman" w:hAnsi="Times New Roman"/>
          <w:sz w:val="20"/>
        </w:rPr>
        <w:t>, albo: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Oto nadchodzi dzień Pana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13,9)</w:t>
      </w:r>
      <w:r w:rsidRPr="00EF6A2C">
        <w:rPr>
          <w:rFonts w:ascii="Times New Roman" w:hAnsi="Times New Roman"/>
          <w:sz w:val="20"/>
        </w:rPr>
        <w:t>. Opisany jest tu obraz zastępów gotowych do bitwy: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Pan Zastępów dokonuje przeglądu zastępów bojowych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13,4)</w:t>
      </w:r>
      <w:r w:rsidRPr="00EF6A2C">
        <w:rPr>
          <w:rFonts w:ascii="Times New Roman" w:hAnsi="Times New Roman"/>
          <w:sz w:val="20"/>
        </w:rPr>
        <w:t>. Będzie to dzień gniewu. Pan mówi: „P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rzyzwałem też i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mocarzów moich do wykonania gniewu mego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13,3 BG)</w:t>
      </w:r>
      <w:r w:rsidRPr="00EF6A2C">
        <w:rPr>
          <w:rFonts w:ascii="Times New Roman" w:hAnsi="Times New Roman"/>
          <w:sz w:val="20"/>
        </w:rPr>
        <w:t>,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Oto dzień Pański srogi idzie w zapalczywości i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popędliwości gniewu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13,9)</w:t>
      </w:r>
      <w:r w:rsidRPr="00EF6A2C">
        <w:rPr>
          <w:rFonts w:ascii="Times New Roman" w:hAnsi="Times New Roman"/>
          <w:sz w:val="20"/>
        </w:rPr>
        <w:t>,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Dlatego zatrząsnę niebem, a poruszy się ziemia z miejsca swego w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 rozgniewaniu Pana zastępów, i w dzień popędliwego gniewu jego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13,13)</w:t>
      </w:r>
      <w:r w:rsidRPr="00EF6A2C">
        <w:rPr>
          <w:rFonts w:ascii="Times New Roman" w:hAnsi="Times New Roman"/>
          <w:sz w:val="20"/>
        </w:rPr>
        <w:t>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Innym istotnym elementem sądu Pańskiego jest powód ostatecznego rozliczenia i dnia zniszczenia: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I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 nawiedzę na okręgu ziemskim złość, a na niezbożnych nieprawości ich; i uczynię koniec pysze hardych, a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 hardość okrutników zniżę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13,11)</w:t>
      </w:r>
      <w:r w:rsidRPr="00EF6A2C">
        <w:rPr>
          <w:rFonts w:ascii="Times New Roman" w:hAnsi="Times New Roman"/>
          <w:sz w:val="20"/>
        </w:rPr>
        <w:t>. Wszystkie te grzechy znajdują wyraz w duchowym Babilonie.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Pewność zwycięstwa</w:t>
      </w:r>
      <w:r w:rsidRPr="00EF6A2C">
        <w:rPr>
          <w:rFonts w:ascii="Times New Roman" w:hAnsi="Times New Roman"/>
          <w:sz w:val="20"/>
        </w:rPr>
        <w:t>. Choć proroctwa Iz 13-14 dotyczą Babilonu i Asyrii (pod koniec r. 14), odnoszą się także do całej ziemi: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To jest plan postanowiony co do całej ziemi, a to jest ręka podniesiona przeciwko wszystkim narodom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14,26)</w:t>
      </w:r>
      <w:r w:rsidRPr="00EF6A2C">
        <w:rPr>
          <w:rFonts w:ascii="Times New Roman" w:hAnsi="Times New Roman"/>
          <w:sz w:val="20"/>
        </w:rPr>
        <w:t>. Nie ma wątpliwości, że eschatologiczne implikacje proroctw Izajasza obejmują cały wszechświat. Ta myśl jest rozwinięta w Iz 24: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Oto Pan spustoszy ziemię i zniszczy ją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24,1)</w:t>
      </w:r>
      <w:r w:rsidRPr="00EF6A2C">
        <w:rPr>
          <w:rFonts w:ascii="Times New Roman" w:hAnsi="Times New Roman"/>
          <w:sz w:val="20"/>
        </w:rPr>
        <w:t>. Dlatego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klątwa pożera ziemię i jej mieszkańcy muszą odpokutować swoje winy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24,6)</w:t>
      </w:r>
      <w:r w:rsidRPr="00EF6A2C">
        <w:rPr>
          <w:rFonts w:ascii="Times New Roman" w:hAnsi="Times New Roman"/>
          <w:sz w:val="20"/>
        </w:rPr>
        <w:t>, bo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zaciążyło na niej jej przestępstwo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24,20)</w:t>
      </w:r>
      <w:r w:rsidRPr="00EF6A2C">
        <w:rPr>
          <w:rFonts w:ascii="Times New Roman" w:hAnsi="Times New Roman"/>
          <w:sz w:val="20"/>
        </w:rPr>
        <w:t>. To jasne, że nie chodzi o ziemię jako element stworzenia, ale przestępstwo mnożące się na ziemi. Dobra nowina jest taka, że ostatecznie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Pan Zastępów będzie królem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24,23)</w:t>
      </w:r>
      <w:r w:rsidRPr="00EF6A2C">
        <w:rPr>
          <w:rFonts w:ascii="Times New Roman" w:hAnsi="Times New Roman"/>
          <w:sz w:val="20"/>
        </w:rPr>
        <w:t>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Iz 25 to pieśń chwały dla Boga za Jego przychylność w eschatologicznym dniu Pana. Rozdział wyraźnie dzieli się na trzy sekcje: 1-5, 6-8 i 9-12. Pierwsza część to pieśń chwały za to, czego Bóg dokonał dla swojego ludu po długim okresie bólu i cierpienia. Bóg dokonał tego, co planował dla swojego ludu: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gdyż dokonałeś cudów; twoje odwieczne plany są niezłomną prawdą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25,1)</w:t>
      </w:r>
      <w:r w:rsidRPr="00EF6A2C">
        <w:rPr>
          <w:rFonts w:ascii="Times New Roman" w:hAnsi="Times New Roman"/>
          <w:sz w:val="20"/>
        </w:rPr>
        <w:t>. Pokonał potęgi uciskające Jego lud.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Miasto 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lastRenderedPageBreak/>
        <w:t>obróciłeś w gruzy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25,2)</w:t>
      </w:r>
      <w:r w:rsidRPr="00EF6A2C">
        <w:rPr>
          <w:rFonts w:ascii="Times New Roman" w:hAnsi="Times New Roman"/>
          <w:sz w:val="20"/>
        </w:rPr>
        <w:t>. Zatem chwała ta jest oznaką radości i szczęścia z powodu zwycięstwa. Bóg jest wywyższony przez dzieła, których dokonał.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Druga część tego rozdziału obejmuje wersety 6-8. Treść podkreśla świętowanie ludu Bożego. Pan odnowił radość i pokój w kraju. Bóg zakończył okres ciemnego cierpienia w ich życiu. Sprawił, że ich ból i łzy przeminęły. Teraz nadszedł czas świętowania i ucztowania, gdyż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Pan Zastępów wyprawi wszystkim ludom na tej górze ucztę z tłustych potraw, ucztę z wystałych win, z tłustych potraw ze szpikiem, ze starych dobrze wystałych win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25,6)</w:t>
      </w:r>
      <w:r w:rsidRPr="00EF6A2C">
        <w:rPr>
          <w:rFonts w:ascii="Times New Roman" w:hAnsi="Times New Roman"/>
          <w:sz w:val="20"/>
        </w:rPr>
        <w:t>. Smutek na zawsze zniknął: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Wszechmocny Pan zniszczy śmierć na wieki i zetrze łzę z każdego oblicza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25,8)</w:t>
      </w:r>
      <w:r w:rsidRPr="00EF6A2C">
        <w:rPr>
          <w:rFonts w:ascii="Times New Roman" w:hAnsi="Times New Roman"/>
          <w:sz w:val="20"/>
        </w:rPr>
        <w:t>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Ostatnia sekcja tego rozdziału zaczyna się w w. 9 i kończy się w w. 12. Rozwija ona pieśń na cześć Boga z pierwszej sekcji. Chwali Boga za Jego oczekiwane dokonanie: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Oto Bóg nasz ten jest; oczekiwaliśmy go, i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 wybawił nas. Tenci jest Pan, któregośmy oczekiwali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 xml:space="preserve">(Iz 25,9 BG) </w:t>
      </w:r>
      <w:r w:rsidRPr="00EF6A2C">
        <w:rPr>
          <w:rFonts w:ascii="Times New Roman" w:hAnsi="Times New Roman"/>
          <w:sz w:val="20"/>
        </w:rPr>
        <w:t>i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zerwie twoje wysokie mury obronne, zburzy, zwali na ziemię, w proch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25,12)</w:t>
      </w:r>
      <w:r w:rsidRPr="00EF6A2C">
        <w:rPr>
          <w:rFonts w:ascii="Times New Roman" w:hAnsi="Times New Roman"/>
          <w:sz w:val="20"/>
        </w:rPr>
        <w:t>. Tak więc lud Boży zawoła: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Weselmy i radujmy się z jego zbawienia! Gdyż ręka Pana spocznie na tej górze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25,9-10)</w:t>
      </w:r>
      <w:r w:rsidRPr="00EF6A2C">
        <w:rPr>
          <w:rFonts w:ascii="Times New Roman" w:hAnsi="Times New Roman"/>
          <w:sz w:val="20"/>
        </w:rPr>
        <w:t>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Wierny naród</w:t>
      </w:r>
      <w:r w:rsidRPr="00EF6A2C">
        <w:rPr>
          <w:rFonts w:ascii="Times New Roman" w:hAnsi="Times New Roman"/>
          <w:sz w:val="20"/>
        </w:rPr>
        <w:t>. Pieśń w Iz 26 uzupełnia pieśń z poprzedniego rozdziału. Zwłaszcza wersety 1-10 podkreślają ważny temat dotyczący odkupionych (stosując go, po pierwsze i przede wszystkim, do narodu Judejczyków, którzy wracają do ojczyzny z wygnania w Babilonie). Tematem tej sekcji jest wierność. Pytanie brzmi: „Kto jest w stanie wejść w bramy i uczestniczyć w uczcie?”.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Pieśń opisuje miasto jako warownię. Pada rozkaz: „Otwórzcie bramy”, aby wszedł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naród sprawiedliwy, który dochowuje wierności!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26,2)</w:t>
      </w:r>
      <w:r w:rsidRPr="00EF6A2C">
        <w:rPr>
          <w:rFonts w:ascii="Times New Roman" w:hAnsi="Times New Roman"/>
          <w:sz w:val="20"/>
        </w:rPr>
        <w:t xml:space="preserve">. Nie jest to już naród grzeszny (Iz 1), ale naród sprawiedliwy. Hebrajskie słowo tłumaczone jako sprawiedliwy to </w:t>
      </w:r>
      <w:r w:rsidRPr="00EF6A2C">
        <w:rPr>
          <w:rFonts w:ascii="Times New Roman" w:eastAsia="Calibri" w:hAnsi="Times New Roman"/>
          <w:i/>
          <w:sz w:val="20"/>
        </w:rPr>
        <w:t>ṣ</w:t>
      </w:r>
      <w:r w:rsidRPr="00EF6A2C">
        <w:rPr>
          <w:rFonts w:ascii="Times New Roman" w:hAnsi="Times New Roman"/>
          <w:i/>
          <w:sz w:val="20"/>
        </w:rPr>
        <w:t>addiq</w:t>
      </w:r>
      <w:r w:rsidRPr="00EF6A2C">
        <w:rPr>
          <w:rFonts w:ascii="Times New Roman" w:hAnsi="Times New Roman"/>
          <w:sz w:val="20"/>
        </w:rPr>
        <w:t xml:space="preserve">, a według hebrajskiego leksykonu ma ono kilka znaczeń. Może oznaczać: (1) sprawiedliwego człowieka postępującego właściwie i dającego sobie radę w życiu; (2) pobożnego człowieka należącego do społeczności Jahwe; (3) pobożnego człowieka, który ma upodobanie w przykazaniach Bożych; (4) człowieka postrzeganego jako prawy, postępujący słusznie. Krótko mówiąc, </w:t>
      </w:r>
      <w:r w:rsidRPr="00EF6A2C">
        <w:rPr>
          <w:rFonts w:ascii="Times New Roman" w:eastAsia="Calibri" w:hAnsi="Times New Roman"/>
          <w:i/>
          <w:sz w:val="20"/>
        </w:rPr>
        <w:t>ṣ</w:t>
      </w:r>
      <w:r w:rsidRPr="00EF6A2C">
        <w:rPr>
          <w:rFonts w:ascii="Times New Roman" w:hAnsi="Times New Roman"/>
          <w:i/>
          <w:sz w:val="20"/>
        </w:rPr>
        <w:t>addiq</w:t>
      </w:r>
      <w:r w:rsidRPr="00EF6A2C">
        <w:rPr>
          <w:rFonts w:ascii="Times New Roman" w:hAnsi="Times New Roman"/>
          <w:sz w:val="20"/>
        </w:rPr>
        <w:t xml:space="preserve"> opisuje kogoś, kto jest sprawiedliwy, prawy i pobożny (</w:t>
      </w:r>
      <w:r w:rsidRPr="00EF6A2C">
        <w:rPr>
          <w:rFonts w:ascii="Times New Roman" w:hAnsi="Times New Roman"/>
          <w:sz w:val="20"/>
          <w:lang w:val="en-GB"/>
        </w:rPr>
        <w:t xml:space="preserve">Ludwig Koehler i Walter Baumgartner, </w:t>
      </w:r>
      <w:r w:rsidRPr="00EF6A2C">
        <w:rPr>
          <w:rFonts w:ascii="Times New Roman" w:hAnsi="Times New Roman"/>
          <w:i/>
          <w:iCs/>
          <w:sz w:val="20"/>
          <w:lang w:val="en-GB"/>
        </w:rPr>
        <w:t>The Hebrew and Aramaic Lexicon of the Old Testament</w:t>
      </w:r>
      <w:r w:rsidRPr="00EF6A2C">
        <w:rPr>
          <w:rFonts w:ascii="Times New Roman" w:hAnsi="Times New Roman"/>
          <w:iCs/>
          <w:sz w:val="20"/>
          <w:lang w:val="en-GB"/>
        </w:rPr>
        <w:t>, t. </w:t>
      </w:r>
      <w:r w:rsidRPr="00EF6A2C">
        <w:rPr>
          <w:rFonts w:ascii="Times New Roman" w:hAnsi="Times New Roman"/>
          <w:sz w:val="20"/>
          <w:lang w:val="en-GB"/>
        </w:rPr>
        <w:t>3, s. 1002</w:t>
      </w:r>
      <w:r w:rsidRPr="00EF6A2C">
        <w:rPr>
          <w:rFonts w:ascii="Times New Roman" w:hAnsi="Times New Roman"/>
          <w:sz w:val="20"/>
        </w:rPr>
        <w:t>).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Ponadto te wersety w Iz 26 zawierają więcej szczegółów dotyczących cech odkupionych oraz uzupełniają wcześniejszą linię myślenia - wierny „dochowuje wierności” </w:t>
      </w:r>
      <w:r w:rsidRPr="00EF6A2C">
        <w:rPr>
          <w:rFonts w:ascii="Times New Roman" w:hAnsi="Times New Roman"/>
          <w:iCs/>
          <w:sz w:val="20"/>
          <w:lang w:val="en-GB"/>
        </w:rPr>
        <w:t xml:space="preserve">(Iz 26,2) </w:t>
      </w:r>
      <w:r w:rsidRPr="00EF6A2C">
        <w:rPr>
          <w:rFonts w:ascii="Times New Roman" w:hAnsi="Times New Roman"/>
          <w:sz w:val="20"/>
        </w:rPr>
        <w:t xml:space="preserve">czyli, jak tłumaczy </w:t>
      </w:r>
      <w:r w:rsidRPr="00EF6A2C">
        <w:rPr>
          <w:rFonts w:ascii="Times New Roman" w:hAnsi="Times New Roman"/>
          <w:i/>
          <w:sz w:val="20"/>
        </w:rPr>
        <w:t>Biblia gdańska</w:t>
      </w:r>
      <w:r w:rsidRPr="00EF6A2C">
        <w:rPr>
          <w:rFonts w:ascii="Times New Roman" w:hAnsi="Times New Roman"/>
          <w:sz w:val="20"/>
        </w:rPr>
        <w:t>, „strzeże prawdy”. Inną cechą odkupionych jest to, że ufają Panu, co jest dwukrotnie podkreślone w Iz 26,3-4: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Tobie zaufał. Ufajcie po wsze czasy Panu</w:t>
      </w:r>
      <w:r w:rsidRPr="00EF6A2C">
        <w:rPr>
          <w:rFonts w:ascii="Times New Roman" w:hAnsi="Times New Roman"/>
          <w:sz w:val="20"/>
        </w:rPr>
        <w:t>”.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Iz 26,7 wprowadza nowe słowo (w tym przypadku przymiotnik), aby opisać odkupionych. Jest to hebrajskie słowo </w:t>
      </w:r>
      <w:r w:rsidRPr="00EF6A2C">
        <w:rPr>
          <w:rFonts w:ascii="Times New Roman" w:hAnsi="Times New Roman"/>
          <w:i/>
          <w:sz w:val="20"/>
        </w:rPr>
        <w:t>y</w:t>
      </w:r>
      <w:r w:rsidRPr="00EF6A2C">
        <w:rPr>
          <w:rFonts w:ascii="Times New Roman" w:eastAsia="Calibri" w:hAnsi="Times New Roman"/>
          <w:i/>
          <w:sz w:val="20"/>
        </w:rPr>
        <w:t>ā</w:t>
      </w:r>
      <w:r w:rsidRPr="00EF6A2C">
        <w:rPr>
          <w:rFonts w:ascii="Times New Roman" w:hAnsi="Times New Roman"/>
          <w:i/>
          <w:sz w:val="20"/>
        </w:rPr>
        <w:t>š</w:t>
      </w:r>
      <w:r w:rsidRPr="00EF6A2C">
        <w:rPr>
          <w:rFonts w:ascii="Times New Roman" w:eastAsia="Calibri" w:hAnsi="Times New Roman"/>
          <w:i/>
          <w:sz w:val="20"/>
        </w:rPr>
        <w:t>ā</w:t>
      </w:r>
      <w:r w:rsidRPr="00EF6A2C">
        <w:rPr>
          <w:rFonts w:ascii="Times New Roman" w:hAnsi="Times New Roman"/>
          <w:i/>
          <w:sz w:val="20"/>
        </w:rPr>
        <w:t>r</w:t>
      </w:r>
      <w:r w:rsidRPr="00EF6A2C">
        <w:rPr>
          <w:rFonts w:ascii="Times New Roman" w:hAnsi="Times New Roman"/>
          <w:sz w:val="20"/>
        </w:rPr>
        <w:t>, które opisuje „sprawiedliwego lub prawego (człowieka)” (</w:t>
      </w:r>
      <w:r w:rsidRPr="00EF6A2C">
        <w:rPr>
          <w:rFonts w:ascii="Times New Roman" w:hAnsi="Times New Roman"/>
          <w:sz w:val="20"/>
          <w:lang w:val="en-GB"/>
        </w:rPr>
        <w:t xml:space="preserve">Ludwig Koehler i Walter Baumgartner, </w:t>
      </w:r>
      <w:r w:rsidRPr="00EF6A2C">
        <w:rPr>
          <w:rFonts w:ascii="Times New Roman" w:hAnsi="Times New Roman"/>
          <w:i/>
          <w:iCs/>
          <w:sz w:val="20"/>
          <w:lang w:val="en-GB"/>
        </w:rPr>
        <w:t>The Hebrew and Aramaic Lexicon of the Old Testament</w:t>
      </w:r>
      <w:r w:rsidRPr="00EF6A2C">
        <w:rPr>
          <w:rFonts w:ascii="Times New Roman" w:hAnsi="Times New Roman"/>
          <w:sz w:val="20"/>
          <w:lang w:val="en-GB"/>
        </w:rPr>
        <w:t>, t. 2, s. 450</w:t>
      </w:r>
      <w:r w:rsidRPr="00EF6A2C">
        <w:rPr>
          <w:rFonts w:ascii="Times New Roman" w:hAnsi="Times New Roman"/>
          <w:sz w:val="20"/>
        </w:rPr>
        <w:t>). W Iz 26,7 czytamy: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Ścieżka sprawiedliwego jest prosta, równa jest droga sprawiedliwego, Ty ją prostujesz</w:t>
      </w:r>
      <w:r w:rsidRPr="00EF6A2C">
        <w:rPr>
          <w:rFonts w:ascii="Times New Roman" w:hAnsi="Times New Roman"/>
          <w:sz w:val="20"/>
        </w:rPr>
        <w:t>”. Iz 26,8-9 wskazują inne elementy doświadczenia wiernych, którzy wejdą do odkupionego miasta: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Na ścieżce twoich sądów oczekujemy ciebie, Panie, dusza tęskni za twoim imieniem, chce o tobie pamiętać. Moja dusza tęskni za tobą w nocy i mój duch poszukuje ciebie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26,8-9)</w:t>
      </w:r>
      <w:r w:rsidRPr="00EF6A2C">
        <w:rPr>
          <w:rFonts w:ascii="Times New Roman" w:hAnsi="Times New Roman"/>
          <w:sz w:val="20"/>
        </w:rPr>
        <w:t>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III: Zastosowanie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1. Scena sądu wydaje się wielu czytelnikom bardzo przerażająca i straszna. Jednak lęk przed nadchodzącym sądem często prowadzi ludzi do szukania Pana i wkroczenia na drogę zbawienia. Czego możemy się nauczyć ze scen sądu w </w:t>
      </w:r>
      <w:r w:rsidRPr="00EF6A2C">
        <w:rPr>
          <w:rFonts w:ascii="Times New Roman" w:hAnsi="Times New Roman"/>
          <w:i/>
          <w:sz w:val="20"/>
        </w:rPr>
        <w:t>Księdze Izajasza</w:t>
      </w:r>
      <w:r w:rsidRPr="00EF6A2C">
        <w:rPr>
          <w:rFonts w:ascii="Times New Roman" w:hAnsi="Times New Roman"/>
          <w:sz w:val="20"/>
        </w:rPr>
        <w:t>? Przeczytaj zwłaszcza Iz 24 opracowując odpowiedź.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2. W Iz 25 Bóg okazał z wyprzedzeniem swoja wierność wobec wyzwolenia swego ludu z ucisku wrogów. On pokona wrogów swoją potężną mocą. Bóg da pokój i radość swemu ludowi. On dokonał zwycięstwa w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przeszłości i przyniesie nam zwycięstwo w przyszłości. Bóg jest naszym zwycięstwem, więc możemy zwyciężyć nad cierpieniem, bólem i grzechem dzięki mocy potężnego Boga. Jaka nadzieję daje nam ta nadzieja, kiedy oczekujemy dnia wielkiej eschatologicznej uczty, którą Bóg przygotował dla swojego umiłowanego ludu?</w:t>
      </w:r>
    </w:p>
    <w:p w:rsidR="00F40C65" w:rsidRPr="00EF6A2C" w:rsidRDefault="00F40C65" w:rsidP="00F40C6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3. Iz 26 ukazuje niektóre cechy ludzi, którzy wejdą w bramy bezpiecznego miasta. „Naród sprawiedliwy” i ci, którzy dochowują wiary, „niech wejdą” (Iz 26,2). Jak w tym kontekście opisałbyś swoją wiarę w ostatnim czasie?</w:t>
      </w:r>
      <w:bookmarkStart w:id="0" w:name="_GoBack"/>
      <w:bookmarkEnd w:id="0"/>
    </w:p>
    <w:sectPr w:rsidR="00F40C65" w:rsidRPr="00EF6A2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DE" w:rsidRDefault="00EB1FDE" w:rsidP="00A820C9">
      <w:r>
        <w:separator/>
      </w:r>
    </w:p>
  </w:endnote>
  <w:endnote w:type="continuationSeparator" w:id="0">
    <w:p w:rsidR="00EB1FDE" w:rsidRDefault="00EB1FD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EB1FDE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DE" w:rsidRDefault="00EB1FDE" w:rsidP="00A820C9">
      <w:r>
        <w:separator/>
      </w:r>
    </w:p>
  </w:footnote>
  <w:footnote w:type="continuationSeparator" w:id="0">
    <w:p w:rsidR="00EB1FDE" w:rsidRDefault="00EB1FD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B7" w:rsidRPr="00E86CB7" w:rsidRDefault="00A97ECA" w:rsidP="00E86CB7">
    <w:pPr>
      <w:tabs>
        <w:tab w:val="left" w:pos="567"/>
      </w:tabs>
      <w:ind w:left="567" w:firstLine="0"/>
      <w:rPr>
        <w:rFonts w:ascii="Times New Roman" w:hAnsi="Times New Roman"/>
        <w:i/>
        <w:iCs/>
        <w:sz w:val="16"/>
        <w:szCs w:val="16"/>
      </w:rPr>
    </w:pPr>
    <w:r w:rsidRPr="00E86CB7">
      <w:rPr>
        <w:rFonts w:ascii="Times New Roman" w:hAnsi="Times New Roman"/>
        <w:sz w:val="16"/>
        <w:szCs w:val="16"/>
      </w:rPr>
      <w:t>Lekcje Biblijne</w:t>
    </w:r>
    <w:r w:rsidR="00E86CB7" w:rsidRPr="00E86CB7">
      <w:rPr>
        <w:rFonts w:ascii="Times New Roman" w:hAnsi="Times New Roman"/>
        <w:sz w:val="16"/>
        <w:szCs w:val="16"/>
      </w:rPr>
      <w:t>1</w:t>
    </w:r>
    <w:r w:rsidRPr="00E86CB7">
      <w:rPr>
        <w:rFonts w:ascii="Times New Roman" w:hAnsi="Times New Roman"/>
        <w:sz w:val="16"/>
        <w:szCs w:val="16"/>
      </w:rPr>
      <w:t>/202</w:t>
    </w:r>
    <w:r w:rsidR="00E86CB7" w:rsidRPr="00E86CB7">
      <w:rPr>
        <w:rFonts w:ascii="Times New Roman" w:hAnsi="Times New Roman"/>
        <w:sz w:val="16"/>
        <w:szCs w:val="16"/>
      </w:rPr>
      <w:t>1</w:t>
    </w:r>
    <w:r w:rsidR="00D143E6">
      <w:rPr>
        <w:rFonts w:ascii="Times New Roman" w:hAnsi="Times New Roman"/>
        <w:sz w:val="16"/>
        <w:szCs w:val="16"/>
      </w:rPr>
      <w:t xml:space="preserve">, </w:t>
    </w:r>
    <w:r w:rsidR="00E86CB7" w:rsidRPr="00E86CB7">
      <w:rPr>
        <w:rFonts w:ascii="Times New Roman" w:hAnsi="Times New Roman"/>
        <w:bCs/>
        <w:sz w:val="16"/>
        <w:szCs w:val="16"/>
        <w:lang w:val="en-GB"/>
      </w:rPr>
      <w:t xml:space="preserve">Roy E. Gane, </w:t>
    </w:r>
    <w:r w:rsidR="00E86CB7" w:rsidRPr="00E86CB7">
      <w:rPr>
        <w:rFonts w:ascii="Times New Roman" w:hAnsi="Times New Roman"/>
        <w:i/>
        <w:iCs/>
        <w:sz w:val="16"/>
        <w:szCs w:val="16"/>
      </w:rPr>
      <w:t>Księga Izajasza, „Pocieszajcie mój lud”</w:t>
    </w:r>
  </w:p>
  <w:p w:rsidR="00E86CB7" w:rsidRPr="00262399" w:rsidRDefault="00E86CB7" w:rsidP="00E86CB7">
    <w:pPr>
      <w:tabs>
        <w:tab w:val="left" w:pos="567"/>
      </w:tabs>
      <w:rPr>
        <w:rFonts w:ascii="Times New Roman" w:hAnsi="Times New Roman"/>
        <w:i/>
        <w:sz w:val="16"/>
      </w:rPr>
    </w:pPr>
    <w:r w:rsidRPr="00E86CB7">
      <w:rPr>
        <w:rFonts w:ascii="Times New Roman" w:hAnsi="Times New Roman"/>
        <w:sz w:val="16"/>
      </w:rPr>
      <w:t>Przewodnik dla nauczycieli</w:t>
    </w:r>
    <w:r>
      <w:rPr>
        <w:rFonts w:ascii="Times New Roman" w:hAnsi="Times New Roman"/>
        <w:sz w:val="16"/>
      </w:rPr>
      <w:t xml:space="preserve">, lekcja </w:t>
    </w:r>
    <w:r w:rsidR="00F40C65">
      <w:rPr>
        <w:rFonts w:ascii="Times New Roman" w:hAnsi="Times New Roman"/>
        <w:sz w:val="16"/>
      </w:rPr>
      <w:t>6</w:t>
    </w:r>
    <w:r>
      <w:rPr>
        <w:rFonts w:ascii="Times New Roman" w:hAnsi="Times New Roman"/>
        <w:sz w:val="16"/>
      </w:rPr>
      <w:t xml:space="preserve">, </w:t>
    </w:r>
    <w:r w:rsidR="00F40C65">
      <w:rPr>
        <w:rFonts w:ascii="Times New Roman" w:hAnsi="Times New Roman"/>
        <w:i/>
        <w:sz w:val="16"/>
      </w:rPr>
      <w:t>Zabawa w Boga</w:t>
    </w:r>
    <w:r w:rsidR="00262399" w:rsidRPr="00262399">
      <w:rPr>
        <w:rFonts w:ascii="Times New Roman" w:hAnsi="Times New Roman"/>
        <w:i/>
        <w:sz w:val="16"/>
      </w:rPr>
      <w:t xml:space="preserve"> </w:t>
    </w:r>
    <w:r w:rsidR="00D143E6" w:rsidRPr="00262399">
      <w:rPr>
        <w:rFonts w:ascii="Times New Roman" w:hAnsi="Times New Roman"/>
        <w:i/>
        <w:sz w:val="16"/>
      </w:rPr>
      <w:t xml:space="preserve"> </w:t>
    </w:r>
    <w:r w:rsidR="00E7674E" w:rsidRPr="00262399">
      <w:rPr>
        <w:rFonts w:ascii="Times New Roman" w:hAnsi="Times New Roman"/>
        <w:i/>
        <w:sz w:val="16"/>
      </w:rPr>
      <w:t xml:space="preserve"> </w:t>
    </w:r>
  </w:p>
  <w:p w:rsidR="00A97ECA" w:rsidRPr="00AA0514" w:rsidRDefault="00A97ECA" w:rsidP="00E86CB7">
    <w:pPr>
      <w:tabs>
        <w:tab w:val="left" w:pos="5751"/>
      </w:tabs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06FBF"/>
    <w:rsid w:val="0002114D"/>
    <w:rsid w:val="000314C7"/>
    <w:rsid w:val="000520B7"/>
    <w:rsid w:val="00057016"/>
    <w:rsid w:val="00057F7D"/>
    <w:rsid w:val="000601FC"/>
    <w:rsid w:val="0006177B"/>
    <w:rsid w:val="000626C5"/>
    <w:rsid w:val="00063209"/>
    <w:rsid w:val="00071DD3"/>
    <w:rsid w:val="00073013"/>
    <w:rsid w:val="0008053E"/>
    <w:rsid w:val="00084D07"/>
    <w:rsid w:val="00095BF6"/>
    <w:rsid w:val="000A7CAE"/>
    <w:rsid w:val="000B4665"/>
    <w:rsid w:val="000C39FA"/>
    <w:rsid w:val="000C43D8"/>
    <w:rsid w:val="000D0B43"/>
    <w:rsid w:val="000E37F9"/>
    <w:rsid w:val="000E3D8C"/>
    <w:rsid w:val="00130250"/>
    <w:rsid w:val="00131D4E"/>
    <w:rsid w:val="001344DC"/>
    <w:rsid w:val="00160A2E"/>
    <w:rsid w:val="001634CA"/>
    <w:rsid w:val="00172E60"/>
    <w:rsid w:val="001900C2"/>
    <w:rsid w:val="001A14AD"/>
    <w:rsid w:val="001B6CB1"/>
    <w:rsid w:val="001F3AB8"/>
    <w:rsid w:val="00211923"/>
    <w:rsid w:val="00247ECF"/>
    <w:rsid w:val="00256C0B"/>
    <w:rsid w:val="00262399"/>
    <w:rsid w:val="002646E2"/>
    <w:rsid w:val="0027003D"/>
    <w:rsid w:val="0028485A"/>
    <w:rsid w:val="002A1958"/>
    <w:rsid w:val="002C1A03"/>
    <w:rsid w:val="002C4FFF"/>
    <w:rsid w:val="002D1C21"/>
    <w:rsid w:val="002F38CF"/>
    <w:rsid w:val="002F7A06"/>
    <w:rsid w:val="003233CA"/>
    <w:rsid w:val="00323F87"/>
    <w:rsid w:val="0033532F"/>
    <w:rsid w:val="00341D7B"/>
    <w:rsid w:val="00350868"/>
    <w:rsid w:val="003562CF"/>
    <w:rsid w:val="00357FBB"/>
    <w:rsid w:val="00362A7E"/>
    <w:rsid w:val="0036462B"/>
    <w:rsid w:val="003A4695"/>
    <w:rsid w:val="003B7F2E"/>
    <w:rsid w:val="003C11EC"/>
    <w:rsid w:val="003C5237"/>
    <w:rsid w:val="003D35FF"/>
    <w:rsid w:val="003E5187"/>
    <w:rsid w:val="00404868"/>
    <w:rsid w:val="00411F03"/>
    <w:rsid w:val="00422C48"/>
    <w:rsid w:val="0043366A"/>
    <w:rsid w:val="0044128C"/>
    <w:rsid w:val="00457757"/>
    <w:rsid w:val="004622A1"/>
    <w:rsid w:val="004765D6"/>
    <w:rsid w:val="004A07EB"/>
    <w:rsid w:val="004A1F71"/>
    <w:rsid w:val="004A68C6"/>
    <w:rsid w:val="004D072B"/>
    <w:rsid w:val="004E2DE9"/>
    <w:rsid w:val="004F7F95"/>
    <w:rsid w:val="00504576"/>
    <w:rsid w:val="005205E4"/>
    <w:rsid w:val="00521F52"/>
    <w:rsid w:val="00535F72"/>
    <w:rsid w:val="00547F5F"/>
    <w:rsid w:val="005537F3"/>
    <w:rsid w:val="0055562E"/>
    <w:rsid w:val="005675D2"/>
    <w:rsid w:val="0058262E"/>
    <w:rsid w:val="0058625A"/>
    <w:rsid w:val="005B5CE3"/>
    <w:rsid w:val="005C0E8B"/>
    <w:rsid w:val="005C7E3B"/>
    <w:rsid w:val="005D58BF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57A7"/>
    <w:rsid w:val="00673C79"/>
    <w:rsid w:val="00680F75"/>
    <w:rsid w:val="00685F14"/>
    <w:rsid w:val="00690562"/>
    <w:rsid w:val="006A77D5"/>
    <w:rsid w:val="00725650"/>
    <w:rsid w:val="00727749"/>
    <w:rsid w:val="0074017C"/>
    <w:rsid w:val="007608BA"/>
    <w:rsid w:val="0076232D"/>
    <w:rsid w:val="00767D8E"/>
    <w:rsid w:val="007812DA"/>
    <w:rsid w:val="00785516"/>
    <w:rsid w:val="007C0F83"/>
    <w:rsid w:val="007E39EB"/>
    <w:rsid w:val="007F2BD7"/>
    <w:rsid w:val="008202AD"/>
    <w:rsid w:val="00845363"/>
    <w:rsid w:val="008572DB"/>
    <w:rsid w:val="00870FEF"/>
    <w:rsid w:val="0087312A"/>
    <w:rsid w:val="008A4CC9"/>
    <w:rsid w:val="008A5882"/>
    <w:rsid w:val="008C1F5B"/>
    <w:rsid w:val="008C694D"/>
    <w:rsid w:val="008E0114"/>
    <w:rsid w:val="008E1633"/>
    <w:rsid w:val="009039D9"/>
    <w:rsid w:val="00903AB3"/>
    <w:rsid w:val="00904615"/>
    <w:rsid w:val="00934141"/>
    <w:rsid w:val="009378A8"/>
    <w:rsid w:val="00947D49"/>
    <w:rsid w:val="00971A12"/>
    <w:rsid w:val="00974B48"/>
    <w:rsid w:val="0097572F"/>
    <w:rsid w:val="00980C54"/>
    <w:rsid w:val="0099242B"/>
    <w:rsid w:val="00997535"/>
    <w:rsid w:val="009A6521"/>
    <w:rsid w:val="009A7A43"/>
    <w:rsid w:val="009C3EC3"/>
    <w:rsid w:val="009D20F6"/>
    <w:rsid w:val="009E786E"/>
    <w:rsid w:val="009F11FB"/>
    <w:rsid w:val="009F74C4"/>
    <w:rsid w:val="00A03AF6"/>
    <w:rsid w:val="00A06761"/>
    <w:rsid w:val="00A10178"/>
    <w:rsid w:val="00A1594B"/>
    <w:rsid w:val="00A22AA7"/>
    <w:rsid w:val="00A249C3"/>
    <w:rsid w:val="00A32AA6"/>
    <w:rsid w:val="00A372AD"/>
    <w:rsid w:val="00A41678"/>
    <w:rsid w:val="00A45D17"/>
    <w:rsid w:val="00A47A53"/>
    <w:rsid w:val="00A501CB"/>
    <w:rsid w:val="00A51056"/>
    <w:rsid w:val="00A55737"/>
    <w:rsid w:val="00A74F83"/>
    <w:rsid w:val="00A81F1D"/>
    <w:rsid w:val="00A820C9"/>
    <w:rsid w:val="00A85D90"/>
    <w:rsid w:val="00A974E6"/>
    <w:rsid w:val="00A97ECA"/>
    <w:rsid w:val="00AA0514"/>
    <w:rsid w:val="00AA336A"/>
    <w:rsid w:val="00AC3205"/>
    <w:rsid w:val="00AD4D5B"/>
    <w:rsid w:val="00AD7194"/>
    <w:rsid w:val="00B12BA8"/>
    <w:rsid w:val="00B27439"/>
    <w:rsid w:val="00B32C6C"/>
    <w:rsid w:val="00B42BF8"/>
    <w:rsid w:val="00B5045B"/>
    <w:rsid w:val="00B53BCA"/>
    <w:rsid w:val="00B608AC"/>
    <w:rsid w:val="00B70608"/>
    <w:rsid w:val="00BA5879"/>
    <w:rsid w:val="00BD0104"/>
    <w:rsid w:val="00BE5836"/>
    <w:rsid w:val="00C045AF"/>
    <w:rsid w:val="00C14432"/>
    <w:rsid w:val="00C2619A"/>
    <w:rsid w:val="00C34141"/>
    <w:rsid w:val="00C42F81"/>
    <w:rsid w:val="00C44AC9"/>
    <w:rsid w:val="00C539F9"/>
    <w:rsid w:val="00C61B5B"/>
    <w:rsid w:val="00C711AB"/>
    <w:rsid w:val="00C85D32"/>
    <w:rsid w:val="00CA1F88"/>
    <w:rsid w:val="00CB2110"/>
    <w:rsid w:val="00CB571A"/>
    <w:rsid w:val="00CD55B6"/>
    <w:rsid w:val="00CD6B02"/>
    <w:rsid w:val="00CE4997"/>
    <w:rsid w:val="00CF2F3B"/>
    <w:rsid w:val="00D0120F"/>
    <w:rsid w:val="00D143E6"/>
    <w:rsid w:val="00D17CAF"/>
    <w:rsid w:val="00D43CA9"/>
    <w:rsid w:val="00D460C5"/>
    <w:rsid w:val="00D5040D"/>
    <w:rsid w:val="00D5746C"/>
    <w:rsid w:val="00D67231"/>
    <w:rsid w:val="00D7222D"/>
    <w:rsid w:val="00DB7651"/>
    <w:rsid w:val="00DD7EA6"/>
    <w:rsid w:val="00DE0B9C"/>
    <w:rsid w:val="00DE5AB9"/>
    <w:rsid w:val="00DF1EA2"/>
    <w:rsid w:val="00E024F6"/>
    <w:rsid w:val="00E03075"/>
    <w:rsid w:val="00E274A1"/>
    <w:rsid w:val="00E32868"/>
    <w:rsid w:val="00E60CC8"/>
    <w:rsid w:val="00E74F52"/>
    <w:rsid w:val="00E7674E"/>
    <w:rsid w:val="00E86CB7"/>
    <w:rsid w:val="00E9226C"/>
    <w:rsid w:val="00E95C9D"/>
    <w:rsid w:val="00EB1FDE"/>
    <w:rsid w:val="00EB34DD"/>
    <w:rsid w:val="00F2397B"/>
    <w:rsid w:val="00F40C65"/>
    <w:rsid w:val="00F42B0D"/>
    <w:rsid w:val="00F47047"/>
    <w:rsid w:val="00F5322D"/>
    <w:rsid w:val="00F711C9"/>
    <w:rsid w:val="00F757EC"/>
    <w:rsid w:val="00F86EBE"/>
    <w:rsid w:val="00F96322"/>
    <w:rsid w:val="00FB0002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05BC1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2020-12-23T17:21:00Z</cp:lastPrinted>
  <dcterms:created xsi:type="dcterms:W3CDTF">2021-01-27T17:08:00Z</dcterms:created>
  <dcterms:modified xsi:type="dcterms:W3CDTF">2021-01-27T17:11:00Z</dcterms:modified>
</cp:coreProperties>
</file>