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4AD" w:rsidRPr="00803076" w:rsidRDefault="00B8752E" w:rsidP="00803076">
      <w:pPr>
        <w:spacing w:after="0"/>
        <w:jc w:val="both"/>
        <w:rPr>
          <w:rFonts w:ascii="Times New Roman" w:hAnsi="Times New Roman" w:cs="Times New Roman"/>
          <w:sz w:val="20"/>
        </w:rPr>
      </w:pPr>
      <w:r w:rsidRPr="00803076">
        <w:rPr>
          <w:rFonts w:ascii="Times New Roman" w:hAnsi="Times New Roman" w:cs="Times New Roman"/>
          <w:b/>
          <w:sz w:val="20"/>
        </w:rPr>
        <w:t xml:space="preserve">Lekcja </w:t>
      </w:r>
      <w:r w:rsidR="001A5567" w:rsidRPr="00803076">
        <w:rPr>
          <w:rFonts w:ascii="Times New Roman" w:hAnsi="Times New Roman" w:cs="Times New Roman"/>
          <w:b/>
          <w:sz w:val="20"/>
        </w:rPr>
        <w:t>1</w:t>
      </w:r>
      <w:r w:rsidR="00803076">
        <w:rPr>
          <w:rFonts w:ascii="Times New Roman" w:hAnsi="Times New Roman" w:cs="Times New Roman"/>
          <w:b/>
          <w:sz w:val="20"/>
        </w:rPr>
        <w:t>2</w:t>
      </w:r>
      <w:r w:rsidR="008C25AF" w:rsidRPr="00803076">
        <w:rPr>
          <w:rFonts w:ascii="Times New Roman" w:hAnsi="Times New Roman" w:cs="Times New Roman"/>
          <w:sz w:val="20"/>
        </w:rPr>
        <w:tab/>
      </w:r>
      <w:r w:rsidR="008C25AF" w:rsidRPr="00803076">
        <w:rPr>
          <w:rFonts w:ascii="Times New Roman" w:hAnsi="Times New Roman" w:cs="Times New Roman"/>
          <w:sz w:val="20"/>
        </w:rPr>
        <w:tab/>
      </w:r>
      <w:r w:rsidR="008C25AF" w:rsidRPr="00803076">
        <w:rPr>
          <w:rFonts w:ascii="Times New Roman" w:hAnsi="Times New Roman" w:cs="Times New Roman"/>
          <w:sz w:val="20"/>
        </w:rPr>
        <w:tab/>
      </w:r>
      <w:r w:rsidR="008C25AF" w:rsidRPr="00803076">
        <w:rPr>
          <w:rFonts w:ascii="Times New Roman" w:hAnsi="Times New Roman" w:cs="Times New Roman"/>
          <w:sz w:val="20"/>
        </w:rPr>
        <w:tab/>
      </w:r>
      <w:r w:rsidR="008C25AF" w:rsidRPr="00803076">
        <w:rPr>
          <w:rFonts w:ascii="Times New Roman" w:hAnsi="Times New Roman" w:cs="Times New Roman"/>
          <w:sz w:val="20"/>
        </w:rPr>
        <w:tab/>
      </w:r>
      <w:r w:rsidR="008C25AF" w:rsidRPr="00803076">
        <w:rPr>
          <w:rFonts w:ascii="Times New Roman" w:hAnsi="Times New Roman" w:cs="Times New Roman"/>
          <w:sz w:val="20"/>
        </w:rPr>
        <w:tab/>
      </w:r>
      <w:r w:rsidR="008C25AF" w:rsidRPr="00803076">
        <w:rPr>
          <w:rFonts w:ascii="Times New Roman" w:hAnsi="Times New Roman" w:cs="Times New Roman"/>
          <w:sz w:val="20"/>
        </w:rPr>
        <w:tab/>
      </w:r>
      <w:r w:rsidR="008C25AF" w:rsidRPr="00803076">
        <w:rPr>
          <w:rFonts w:ascii="Times New Roman" w:hAnsi="Times New Roman" w:cs="Times New Roman"/>
          <w:sz w:val="20"/>
        </w:rPr>
        <w:tab/>
      </w:r>
      <w:r w:rsidR="008C25AF" w:rsidRPr="00803076">
        <w:rPr>
          <w:rFonts w:ascii="Times New Roman" w:hAnsi="Times New Roman" w:cs="Times New Roman"/>
          <w:sz w:val="20"/>
        </w:rPr>
        <w:tab/>
      </w:r>
      <w:r w:rsidR="008C25AF" w:rsidRPr="00803076">
        <w:rPr>
          <w:rFonts w:ascii="Times New Roman" w:hAnsi="Times New Roman" w:cs="Times New Roman"/>
          <w:sz w:val="20"/>
        </w:rPr>
        <w:tab/>
      </w:r>
      <w:r w:rsidR="00803076" w:rsidRPr="00803076">
        <w:rPr>
          <w:rFonts w:ascii="Times New Roman" w:hAnsi="Times New Roman" w:cs="Times New Roman"/>
          <w:b/>
          <w:sz w:val="20"/>
        </w:rPr>
        <w:t>23</w:t>
      </w:r>
      <w:r w:rsidR="004A47BB" w:rsidRPr="00803076">
        <w:rPr>
          <w:rFonts w:ascii="Times New Roman" w:hAnsi="Times New Roman" w:cs="Times New Roman"/>
          <w:b/>
          <w:sz w:val="20"/>
        </w:rPr>
        <w:t xml:space="preserve"> </w:t>
      </w:r>
      <w:r w:rsidR="004D3E20" w:rsidRPr="00803076">
        <w:rPr>
          <w:rFonts w:ascii="Times New Roman" w:hAnsi="Times New Roman" w:cs="Times New Roman"/>
          <w:b/>
          <w:sz w:val="20"/>
        </w:rPr>
        <w:t>marca</w:t>
      </w:r>
    </w:p>
    <w:p w:rsidR="00E84093" w:rsidRPr="00803076" w:rsidRDefault="00803076" w:rsidP="00803076">
      <w:pPr>
        <w:spacing w:after="0"/>
        <w:jc w:val="center"/>
        <w:rPr>
          <w:rFonts w:ascii="Times New Roman" w:hAnsi="Times New Roman" w:cs="Times New Roman"/>
          <w:b/>
        </w:rPr>
      </w:pPr>
      <w:r w:rsidRPr="00803076">
        <w:rPr>
          <w:rFonts w:ascii="Times New Roman" w:hAnsi="Times New Roman" w:cs="Times New Roman"/>
          <w:b/>
          <w:sz w:val="36"/>
        </w:rPr>
        <w:t>Sąd nad Babilonem</w:t>
      </w:r>
    </w:p>
    <w:p w:rsidR="00803076" w:rsidRPr="00803076" w:rsidRDefault="00803076" w:rsidP="00803076">
      <w:pPr>
        <w:spacing w:line="360" w:lineRule="auto"/>
        <w:jc w:val="both"/>
        <w:rPr>
          <w:rFonts w:ascii="Times New Roman" w:hAnsi="Times New Roman" w:cs="Times New Roman"/>
        </w:rPr>
      </w:pPr>
      <w:r w:rsidRPr="00803076">
        <w:rPr>
          <w:rFonts w:ascii="Times New Roman" w:hAnsi="Times New Roman" w:cs="Times New Roman"/>
          <w:b/>
        </w:rPr>
        <w:t>Część I: Przegląd lekcji</w:t>
      </w:r>
    </w:p>
    <w:p w:rsidR="00803076" w:rsidRPr="00803076" w:rsidRDefault="00803076" w:rsidP="00803076">
      <w:pPr>
        <w:spacing w:line="360" w:lineRule="auto"/>
        <w:jc w:val="both"/>
        <w:rPr>
          <w:rFonts w:ascii="Times New Roman" w:hAnsi="Times New Roman" w:cs="Times New Roman"/>
        </w:rPr>
      </w:pPr>
      <w:r w:rsidRPr="00803076">
        <w:rPr>
          <w:rFonts w:ascii="Times New Roman" w:hAnsi="Times New Roman" w:cs="Times New Roman"/>
          <w:b/>
          <w:bCs/>
        </w:rPr>
        <w:t xml:space="preserve">Tekst przewodni: </w:t>
      </w:r>
      <w:proofErr w:type="spellStart"/>
      <w:r w:rsidRPr="00803076">
        <w:rPr>
          <w:rFonts w:ascii="Times New Roman" w:hAnsi="Times New Roman" w:cs="Times New Roman"/>
          <w:iCs/>
        </w:rPr>
        <w:t>Ap</w:t>
      </w:r>
      <w:proofErr w:type="spellEnd"/>
      <w:r w:rsidRPr="00803076">
        <w:rPr>
          <w:rFonts w:ascii="Times New Roman" w:hAnsi="Times New Roman" w:cs="Times New Roman"/>
          <w:iCs/>
        </w:rPr>
        <w:t xml:space="preserve"> 17,14.</w:t>
      </w:r>
    </w:p>
    <w:p w:rsidR="00803076" w:rsidRPr="00803076" w:rsidRDefault="00803076" w:rsidP="00803076">
      <w:pPr>
        <w:spacing w:line="360" w:lineRule="auto"/>
        <w:jc w:val="both"/>
        <w:rPr>
          <w:rFonts w:ascii="Times New Roman" w:hAnsi="Times New Roman" w:cs="Times New Roman"/>
        </w:rPr>
      </w:pPr>
      <w:r w:rsidRPr="00803076">
        <w:rPr>
          <w:rFonts w:ascii="Times New Roman" w:hAnsi="Times New Roman" w:cs="Times New Roman"/>
          <w:b/>
          <w:bCs/>
        </w:rPr>
        <w:t xml:space="preserve">Cel studium: 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17—18 dotyczy upadku eschatologicznego Babilonu w ostatnich dniach historii świata.</w:t>
      </w:r>
    </w:p>
    <w:p w:rsidR="00803076" w:rsidRPr="00803076" w:rsidRDefault="00803076" w:rsidP="00803076">
      <w:pPr>
        <w:spacing w:line="360" w:lineRule="auto"/>
        <w:jc w:val="both"/>
        <w:rPr>
          <w:rFonts w:ascii="Times New Roman" w:hAnsi="Times New Roman" w:cs="Times New Roman"/>
        </w:rPr>
      </w:pPr>
      <w:r w:rsidRPr="00803076">
        <w:rPr>
          <w:rFonts w:ascii="Times New Roman" w:hAnsi="Times New Roman" w:cs="Times New Roman"/>
          <w:b/>
          <w:bCs/>
        </w:rPr>
        <w:t xml:space="preserve">Wprowadzenie: 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17 opisuje powstanie i upadek eschatologicznego Babilonu symbolizowanego przez kobietę, wielką wszetecznicę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17,18). 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18 także przedstawia upadek Babilonu, ale tym razem jako wielkiego miasta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18,10.16.18-19).</w:t>
      </w:r>
    </w:p>
    <w:p w:rsidR="00803076" w:rsidRPr="00803076" w:rsidRDefault="00803076" w:rsidP="00803076">
      <w:pPr>
        <w:spacing w:line="360" w:lineRule="auto"/>
        <w:jc w:val="both"/>
        <w:rPr>
          <w:rFonts w:ascii="Times New Roman" w:hAnsi="Times New Roman" w:cs="Times New Roman"/>
        </w:rPr>
      </w:pPr>
      <w:r w:rsidRPr="00803076">
        <w:rPr>
          <w:rFonts w:ascii="Times New Roman" w:hAnsi="Times New Roman" w:cs="Times New Roman"/>
          <w:b/>
          <w:bCs/>
        </w:rPr>
        <w:t xml:space="preserve">Tematy lekcji: </w:t>
      </w:r>
      <w:r w:rsidRPr="00803076">
        <w:rPr>
          <w:rFonts w:ascii="Times New Roman" w:hAnsi="Times New Roman" w:cs="Times New Roman"/>
        </w:rPr>
        <w:t>Lekcja i tekst przewodni wprowadzają następujące tematy:</w:t>
      </w:r>
    </w:p>
    <w:p w:rsidR="00803076" w:rsidRPr="00803076" w:rsidRDefault="00803076" w:rsidP="00803076">
      <w:pPr>
        <w:spacing w:line="360" w:lineRule="auto"/>
        <w:jc w:val="both"/>
        <w:rPr>
          <w:rFonts w:ascii="Times New Roman" w:hAnsi="Times New Roman" w:cs="Times New Roman"/>
        </w:rPr>
      </w:pPr>
      <w:r w:rsidRPr="00803076">
        <w:rPr>
          <w:rFonts w:ascii="Times New Roman" w:hAnsi="Times New Roman" w:cs="Times New Roman"/>
          <w:b/>
          <w:bCs/>
        </w:rPr>
        <w:t xml:space="preserve">I. Trzy ogólnoświatowe alianse w czasie końca. </w:t>
      </w:r>
      <w:r w:rsidRPr="00803076">
        <w:rPr>
          <w:rFonts w:ascii="Times New Roman" w:hAnsi="Times New Roman" w:cs="Times New Roman"/>
          <w:bCs/>
        </w:rPr>
        <w:t xml:space="preserve">Liczne </w:t>
      </w:r>
      <w:r w:rsidRPr="00803076">
        <w:rPr>
          <w:rFonts w:ascii="Times New Roman" w:hAnsi="Times New Roman" w:cs="Times New Roman"/>
        </w:rPr>
        <w:t xml:space="preserve">symbole </w:t>
      </w:r>
      <w:r w:rsidRPr="00803076">
        <w:rPr>
          <w:rFonts w:ascii="Times New Roman" w:hAnsi="Times New Roman" w:cs="Times New Roman"/>
          <w:i/>
          <w:iCs/>
        </w:rPr>
        <w:t>Apokalipsy Jana</w:t>
      </w:r>
      <w:r w:rsidRPr="00803076">
        <w:rPr>
          <w:rFonts w:ascii="Times New Roman" w:hAnsi="Times New Roman" w:cs="Times New Roman"/>
        </w:rPr>
        <w:t xml:space="preserve"> składają się na trzy ogólnoświatowe alianse, które powstaną w czasie </w:t>
      </w:r>
      <w:proofErr w:type="spellStart"/>
      <w:r w:rsidRPr="00803076">
        <w:rPr>
          <w:rFonts w:ascii="Times New Roman" w:hAnsi="Times New Roman" w:cs="Times New Roman"/>
        </w:rPr>
        <w:t>konca</w:t>
      </w:r>
      <w:proofErr w:type="spellEnd"/>
      <w:r w:rsidRPr="00803076">
        <w:rPr>
          <w:rFonts w:ascii="Times New Roman" w:hAnsi="Times New Roman" w:cs="Times New Roman"/>
        </w:rPr>
        <w:t xml:space="preserve"> w następujących dziedzinach: (1) religii, (2) władzy świeckiej/politycznej, (3) wspólnoty „świętych”.</w:t>
      </w:r>
    </w:p>
    <w:p w:rsidR="00803076" w:rsidRPr="00803076" w:rsidRDefault="00803076" w:rsidP="00803076">
      <w:pPr>
        <w:spacing w:line="360" w:lineRule="auto"/>
        <w:jc w:val="both"/>
        <w:rPr>
          <w:rFonts w:ascii="Times New Roman" w:hAnsi="Times New Roman" w:cs="Times New Roman"/>
        </w:rPr>
      </w:pPr>
      <w:r w:rsidRPr="00803076">
        <w:rPr>
          <w:rFonts w:ascii="Times New Roman" w:hAnsi="Times New Roman" w:cs="Times New Roman"/>
          <w:b/>
          <w:bCs/>
        </w:rPr>
        <w:t>II. Różnica między wizjami a ich objaśnieniem.</w:t>
      </w:r>
      <w:r w:rsidRPr="00803076">
        <w:rPr>
          <w:rFonts w:ascii="Times New Roman" w:hAnsi="Times New Roman" w:cs="Times New Roman"/>
        </w:rPr>
        <w:t xml:space="preserve"> W wizji prorok może zostać przeniesiony w dowolny czas i miejsce, ale wyjaśnienia wizji udzielone prorokowi są podane z perspektywy czasu i miejsca, w których znajduje się prorok.</w:t>
      </w:r>
    </w:p>
    <w:p w:rsidR="00803076" w:rsidRPr="00803076" w:rsidRDefault="00803076" w:rsidP="00803076">
      <w:pPr>
        <w:spacing w:line="360" w:lineRule="auto"/>
        <w:jc w:val="both"/>
        <w:rPr>
          <w:rFonts w:ascii="Times New Roman" w:hAnsi="Times New Roman" w:cs="Times New Roman"/>
        </w:rPr>
      </w:pPr>
      <w:r w:rsidRPr="00803076">
        <w:rPr>
          <w:rFonts w:ascii="Times New Roman" w:hAnsi="Times New Roman" w:cs="Times New Roman"/>
          <w:b/>
          <w:bCs/>
        </w:rPr>
        <w:t xml:space="preserve">III. Tożsamość siedmiu królów z </w:t>
      </w:r>
      <w:proofErr w:type="spellStart"/>
      <w:r w:rsidRPr="00803076">
        <w:rPr>
          <w:rFonts w:ascii="Times New Roman" w:hAnsi="Times New Roman" w:cs="Times New Roman"/>
          <w:b/>
          <w:bCs/>
        </w:rPr>
        <w:t>Ap</w:t>
      </w:r>
      <w:proofErr w:type="spellEnd"/>
      <w:r w:rsidRPr="00803076">
        <w:rPr>
          <w:rFonts w:ascii="Times New Roman" w:hAnsi="Times New Roman" w:cs="Times New Roman"/>
          <w:b/>
          <w:bCs/>
        </w:rPr>
        <w:t xml:space="preserve"> 17,10.</w:t>
      </w:r>
      <w:r w:rsidRPr="00803076">
        <w:rPr>
          <w:rFonts w:ascii="Times New Roman" w:hAnsi="Times New Roman" w:cs="Times New Roman"/>
        </w:rPr>
        <w:t xml:space="preserve"> Aby zrozumieć tożsamość siedmiu królów z 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17,10 musimy ustalić ramy czasowe szóstego króla.</w:t>
      </w:r>
    </w:p>
    <w:p w:rsidR="00803076" w:rsidRPr="00803076" w:rsidRDefault="00803076" w:rsidP="00803076">
      <w:pPr>
        <w:spacing w:line="360" w:lineRule="auto"/>
        <w:jc w:val="both"/>
        <w:rPr>
          <w:rFonts w:ascii="Times New Roman" w:hAnsi="Times New Roman" w:cs="Times New Roman"/>
        </w:rPr>
      </w:pPr>
      <w:r w:rsidRPr="00803076">
        <w:rPr>
          <w:rFonts w:ascii="Times New Roman" w:hAnsi="Times New Roman" w:cs="Times New Roman"/>
          <w:b/>
          <w:bCs/>
        </w:rPr>
        <w:t xml:space="preserve">IV. Narracja </w:t>
      </w:r>
      <w:proofErr w:type="spellStart"/>
      <w:r w:rsidRPr="00803076">
        <w:rPr>
          <w:rFonts w:ascii="Times New Roman" w:hAnsi="Times New Roman" w:cs="Times New Roman"/>
          <w:b/>
          <w:bCs/>
        </w:rPr>
        <w:t>Ap</w:t>
      </w:r>
      <w:proofErr w:type="spellEnd"/>
      <w:r w:rsidRPr="00803076">
        <w:rPr>
          <w:rFonts w:ascii="Times New Roman" w:hAnsi="Times New Roman" w:cs="Times New Roman"/>
          <w:b/>
          <w:bCs/>
        </w:rPr>
        <w:t xml:space="preserve"> 17.</w:t>
      </w:r>
      <w:r w:rsidRPr="00803076">
        <w:rPr>
          <w:rFonts w:ascii="Times New Roman" w:hAnsi="Times New Roman" w:cs="Times New Roman"/>
        </w:rPr>
        <w:t xml:space="preserve"> Podsumowanie wydarzeń czasu końca w świetle punktu I.</w:t>
      </w:r>
    </w:p>
    <w:p w:rsidR="00803076" w:rsidRPr="00803076" w:rsidRDefault="00803076" w:rsidP="00803076">
      <w:pPr>
        <w:spacing w:line="360" w:lineRule="auto"/>
        <w:jc w:val="both"/>
        <w:rPr>
          <w:rFonts w:ascii="Times New Roman" w:hAnsi="Times New Roman" w:cs="Times New Roman"/>
        </w:rPr>
      </w:pPr>
      <w:r w:rsidRPr="00803076">
        <w:rPr>
          <w:rFonts w:ascii="Times New Roman" w:hAnsi="Times New Roman" w:cs="Times New Roman"/>
          <w:b/>
          <w:bCs/>
        </w:rPr>
        <w:t xml:space="preserve">Praktyczne zastosowanie: </w:t>
      </w:r>
      <w:r w:rsidRPr="00803076">
        <w:rPr>
          <w:rFonts w:ascii="Times New Roman" w:hAnsi="Times New Roman" w:cs="Times New Roman"/>
        </w:rPr>
        <w:t xml:space="preserve">W tej części </w:t>
      </w:r>
      <w:proofErr w:type="spellStart"/>
      <w:r w:rsidRPr="00803076">
        <w:rPr>
          <w:rFonts w:ascii="Times New Roman" w:hAnsi="Times New Roman" w:cs="Times New Roman"/>
        </w:rPr>
        <w:t>zbdamy</w:t>
      </w:r>
      <w:proofErr w:type="spellEnd"/>
      <w:r w:rsidRPr="00803076">
        <w:rPr>
          <w:rFonts w:ascii="Times New Roman" w:hAnsi="Times New Roman" w:cs="Times New Roman"/>
        </w:rPr>
        <w:t xml:space="preserve">, jak powinniśmy traktować chrześcijan z innych wyznań, skoro wiemy, że </w:t>
      </w:r>
      <w:proofErr w:type="spellStart"/>
      <w:r w:rsidRPr="00803076">
        <w:rPr>
          <w:rFonts w:ascii="Times New Roman" w:hAnsi="Times New Roman" w:cs="Times New Roman"/>
        </w:rPr>
        <w:t>Bog</w:t>
      </w:r>
      <w:proofErr w:type="spellEnd"/>
      <w:r w:rsidRPr="00803076">
        <w:rPr>
          <w:rFonts w:ascii="Times New Roman" w:hAnsi="Times New Roman" w:cs="Times New Roman"/>
        </w:rPr>
        <w:t xml:space="preserve"> ma wielu wiernych wyznawców, którzy jeszcze nie usłyszeli wezwania do wyjścia z Babilonu. Przyjrzymy się także podobieństwom i istotnym różnicom między kobietami z 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12 i 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17 oraz gotowości ludu Bożego na powtórne przyjście Jezusa Chrystusa.</w:t>
      </w:r>
    </w:p>
    <w:p w:rsidR="00803076" w:rsidRDefault="008030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803076" w:rsidRPr="00803076" w:rsidRDefault="00803076" w:rsidP="00803076">
      <w:pPr>
        <w:spacing w:line="360" w:lineRule="auto"/>
        <w:jc w:val="both"/>
        <w:rPr>
          <w:rFonts w:ascii="Times New Roman" w:hAnsi="Times New Roman" w:cs="Times New Roman"/>
        </w:rPr>
      </w:pPr>
    </w:p>
    <w:p w:rsidR="00803076" w:rsidRPr="00803076" w:rsidRDefault="00803076" w:rsidP="00803076">
      <w:pPr>
        <w:jc w:val="both"/>
        <w:rPr>
          <w:rFonts w:ascii="Times New Roman" w:hAnsi="Times New Roman" w:cs="Times New Roman"/>
        </w:rPr>
      </w:pPr>
      <w:r w:rsidRPr="00803076">
        <w:rPr>
          <w:rFonts w:ascii="Times New Roman" w:hAnsi="Times New Roman" w:cs="Times New Roman"/>
          <w:b/>
        </w:rPr>
        <w:t>Część II: Komentarz</w:t>
      </w:r>
    </w:p>
    <w:p w:rsidR="00803076" w:rsidRPr="00803076" w:rsidRDefault="00803076" w:rsidP="00803076">
      <w:pPr>
        <w:ind w:firstLine="708"/>
        <w:jc w:val="both"/>
        <w:rPr>
          <w:rFonts w:ascii="Times New Roman" w:hAnsi="Times New Roman" w:cs="Times New Roman"/>
        </w:rPr>
      </w:pPr>
      <w:r w:rsidRPr="00803076">
        <w:rPr>
          <w:rFonts w:ascii="Times New Roman" w:hAnsi="Times New Roman" w:cs="Times New Roman"/>
        </w:rPr>
        <w:t xml:space="preserve">W 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17—18 Babilon zyskuje wsparcie świeckich/politycznych sił ziemi w jego wojnie przeciwko świętym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17,6), ale ostatecznie siły te zwracają się przeciwko Babilonowi i niszczą go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17,16). 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18 wyraża potrójny żal sił świata z tego powodu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18,9-19). Podczas gdy świat opłakuje upadek Babilonu, święci cieszą się z niego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18,20).</w:t>
      </w:r>
    </w:p>
    <w:p w:rsidR="00803076" w:rsidRPr="00803076" w:rsidRDefault="00803076" w:rsidP="00803076">
      <w:pPr>
        <w:jc w:val="both"/>
        <w:rPr>
          <w:rFonts w:ascii="Times New Roman" w:hAnsi="Times New Roman" w:cs="Times New Roman"/>
        </w:rPr>
      </w:pPr>
    </w:p>
    <w:p w:rsidR="00803076" w:rsidRPr="00803076" w:rsidRDefault="00803076" w:rsidP="00803076">
      <w:pPr>
        <w:jc w:val="both"/>
        <w:rPr>
          <w:rFonts w:ascii="Times New Roman" w:hAnsi="Times New Roman" w:cs="Times New Roman"/>
          <w:b/>
        </w:rPr>
      </w:pPr>
      <w:r w:rsidRPr="00803076">
        <w:rPr>
          <w:rFonts w:ascii="Times New Roman" w:hAnsi="Times New Roman" w:cs="Times New Roman"/>
          <w:b/>
        </w:rPr>
        <w:t>Rozwinięcie głównych tematów lekcji 12:</w:t>
      </w:r>
    </w:p>
    <w:p w:rsidR="00803076" w:rsidRPr="00803076" w:rsidRDefault="00803076" w:rsidP="00803076">
      <w:pPr>
        <w:jc w:val="both"/>
        <w:rPr>
          <w:rFonts w:ascii="Times New Roman" w:hAnsi="Times New Roman" w:cs="Times New Roman"/>
        </w:rPr>
      </w:pPr>
      <w:r w:rsidRPr="00803076">
        <w:rPr>
          <w:rFonts w:ascii="Times New Roman" w:hAnsi="Times New Roman" w:cs="Times New Roman"/>
          <w:b/>
          <w:bCs/>
        </w:rPr>
        <w:t>I. Trzy ogólnoświatowe alianse w czasie końca.</w:t>
      </w:r>
    </w:p>
    <w:p w:rsidR="00803076" w:rsidRPr="00803076" w:rsidRDefault="00803076" w:rsidP="00803076">
      <w:pPr>
        <w:ind w:firstLine="708"/>
        <w:jc w:val="both"/>
        <w:rPr>
          <w:rFonts w:ascii="Times New Roman" w:hAnsi="Times New Roman" w:cs="Times New Roman"/>
        </w:rPr>
      </w:pP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16-18 zawiera zdumiewający zbiór obrazów opisujących siły i ugrupowania w czasie końca. Dzięki starannej analizie staje się jasne, że wiele tych obrazów to różne sposoby opisania tej samej rzeczywistości. Na przykład, siedem głów bestii jest przedstawione także jako siedem pagórków i siedmiu królów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17,9-10). Podobnie wielka wszetecznica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17,1) to ta sama kobieta, która siedzi na bestii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17,3) oraz Wielki Babilon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17,5). Zauważyliśmy wcześniej w lekcji 11 (punkt I.), że lud Boży także został nazwany różnymi nazwami w </w:t>
      </w:r>
      <w:r w:rsidRPr="00803076">
        <w:rPr>
          <w:rFonts w:ascii="Times New Roman" w:hAnsi="Times New Roman" w:cs="Times New Roman"/>
          <w:i/>
          <w:iCs/>
        </w:rPr>
        <w:t>Apokalipsie Jana</w:t>
      </w:r>
      <w:r w:rsidRPr="00803076">
        <w:rPr>
          <w:rFonts w:ascii="Times New Roman" w:hAnsi="Times New Roman" w:cs="Times New Roman"/>
        </w:rPr>
        <w:t>.</w:t>
      </w:r>
    </w:p>
    <w:p w:rsidR="00803076" w:rsidRPr="00803076" w:rsidRDefault="00803076" w:rsidP="00803076">
      <w:pPr>
        <w:ind w:firstLine="708"/>
        <w:jc w:val="both"/>
        <w:rPr>
          <w:rFonts w:ascii="Times New Roman" w:hAnsi="Times New Roman" w:cs="Times New Roman"/>
        </w:rPr>
      </w:pPr>
      <w:r w:rsidRPr="00803076">
        <w:rPr>
          <w:rFonts w:ascii="Times New Roman" w:hAnsi="Times New Roman" w:cs="Times New Roman"/>
        </w:rPr>
        <w:t>Szereg obrazów w tych rozdziałach można połączyć w trzy ogólnoświatowe alianse, które powstaną w ostatnim okresie historii świata.</w:t>
      </w:r>
    </w:p>
    <w:p w:rsidR="00803076" w:rsidRPr="00803076" w:rsidRDefault="00803076" w:rsidP="00803076">
      <w:pPr>
        <w:ind w:firstLine="708"/>
        <w:jc w:val="both"/>
        <w:rPr>
          <w:rFonts w:ascii="Times New Roman" w:hAnsi="Times New Roman" w:cs="Times New Roman"/>
        </w:rPr>
      </w:pPr>
      <w:r w:rsidRPr="00803076">
        <w:rPr>
          <w:rFonts w:ascii="Times New Roman" w:hAnsi="Times New Roman" w:cs="Times New Roman"/>
        </w:rPr>
        <w:t>1. Powstaje zatem ogólnoświatowy alians organizacji i instytucji religijnych, które łączą się w opozycji wobec Boga i Jego wiernego ludu. Ten alians jest przedstawiony jako Babilon, wielka wszetecznica, wielkie miasto czy kobieta dosiadająca bestii.</w:t>
      </w:r>
    </w:p>
    <w:p w:rsidR="00803076" w:rsidRPr="00803076" w:rsidRDefault="00803076" w:rsidP="00803076">
      <w:pPr>
        <w:ind w:firstLine="708"/>
        <w:jc w:val="both"/>
        <w:rPr>
          <w:rFonts w:ascii="Times New Roman" w:hAnsi="Times New Roman" w:cs="Times New Roman"/>
        </w:rPr>
      </w:pPr>
      <w:r w:rsidRPr="00803076">
        <w:rPr>
          <w:rFonts w:ascii="Times New Roman" w:hAnsi="Times New Roman" w:cs="Times New Roman"/>
        </w:rPr>
        <w:t xml:space="preserve">2. Powstaje wielki ogólnoświatowy alians sił świeckich, politycznych i militarnych. Ten alians także jest rozmaicie nazywany w </w:t>
      </w:r>
      <w:r w:rsidRPr="00803076">
        <w:rPr>
          <w:rFonts w:ascii="Times New Roman" w:hAnsi="Times New Roman" w:cs="Times New Roman"/>
          <w:i/>
          <w:iCs/>
        </w:rPr>
        <w:t>Apokalipsie Jana</w:t>
      </w:r>
      <w:r w:rsidRPr="00803076">
        <w:rPr>
          <w:rFonts w:ascii="Times New Roman" w:hAnsi="Times New Roman" w:cs="Times New Roman"/>
        </w:rPr>
        <w:t>: królowie całego świata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16,14), miasta narodów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16,19), królowie ziemi, mieszkańcy ziemi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17,2), bestia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17,3), siedem głów, siedem pagórków, siedmiu królów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17,9-10) i dziesięć rogów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17,12-13). Te </w:t>
      </w:r>
      <w:proofErr w:type="spellStart"/>
      <w:r w:rsidRPr="00803076">
        <w:rPr>
          <w:rFonts w:ascii="Times New Roman" w:hAnsi="Times New Roman" w:cs="Times New Roman"/>
        </w:rPr>
        <w:t>śweickie</w:t>
      </w:r>
      <w:proofErr w:type="spellEnd"/>
      <w:r w:rsidRPr="00803076">
        <w:rPr>
          <w:rFonts w:ascii="Times New Roman" w:hAnsi="Times New Roman" w:cs="Times New Roman"/>
        </w:rPr>
        <w:t xml:space="preserve"> moce są także przedstawione jako królowie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18,19), kupcy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18,11) oraz sternicy, przewoźnicy i żeglarze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18,17).</w:t>
      </w:r>
    </w:p>
    <w:p w:rsidR="00803076" w:rsidRPr="00803076" w:rsidRDefault="00803076" w:rsidP="00803076">
      <w:pPr>
        <w:ind w:firstLine="708"/>
        <w:jc w:val="both"/>
        <w:rPr>
          <w:rFonts w:ascii="Times New Roman" w:hAnsi="Times New Roman" w:cs="Times New Roman"/>
        </w:rPr>
      </w:pPr>
      <w:r w:rsidRPr="00803076">
        <w:rPr>
          <w:rFonts w:ascii="Times New Roman" w:hAnsi="Times New Roman" w:cs="Times New Roman"/>
        </w:rPr>
        <w:t>3. Powstaje także ogólnoświatowy alians świętych w czasie końca nazwany następująco: zapieczętowani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7,1-3); 144 tysiące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7,4-8); reszta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12,17); święci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14,12); pilnujący szat swoich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16,15), powołani, wybrani i wierni wyznawcy Baranka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17,14). W punkcie IV. omówimy krótko narrację tych trzech aliansów w ostatnich dniach historii świata.</w:t>
      </w:r>
    </w:p>
    <w:p w:rsidR="00803076" w:rsidRPr="00803076" w:rsidRDefault="00803076" w:rsidP="00803076">
      <w:pPr>
        <w:jc w:val="both"/>
        <w:rPr>
          <w:rFonts w:ascii="Times New Roman" w:hAnsi="Times New Roman" w:cs="Times New Roman"/>
        </w:rPr>
      </w:pPr>
    </w:p>
    <w:p w:rsidR="00803076" w:rsidRPr="00803076" w:rsidRDefault="00803076" w:rsidP="00803076">
      <w:pPr>
        <w:ind w:firstLine="708"/>
        <w:jc w:val="both"/>
        <w:rPr>
          <w:rFonts w:ascii="Times New Roman" w:hAnsi="Times New Roman" w:cs="Times New Roman"/>
        </w:rPr>
      </w:pPr>
      <w:r w:rsidRPr="00803076">
        <w:rPr>
          <w:rFonts w:ascii="Times New Roman" w:hAnsi="Times New Roman" w:cs="Times New Roman"/>
          <w:b/>
          <w:bCs/>
        </w:rPr>
        <w:t>II. Różnica między wizjami a ich objaśnieniem.</w:t>
      </w:r>
    </w:p>
    <w:p w:rsidR="00803076" w:rsidRPr="00803076" w:rsidRDefault="00803076" w:rsidP="00803076">
      <w:pPr>
        <w:jc w:val="both"/>
        <w:rPr>
          <w:rFonts w:ascii="Times New Roman" w:hAnsi="Times New Roman" w:cs="Times New Roman"/>
        </w:rPr>
      </w:pPr>
      <w:r w:rsidRPr="00803076">
        <w:rPr>
          <w:rFonts w:ascii="Times New Roman" w:hAnsi="Times New Roman" w:cs="Times New Roman"/>
        </w:rPr>
        <w:t>W proroctwach apokaliptycznych występuje wyraźne rozróżnienie między wizjami a objaśnieniami. W wizji prorok może zostać przeniesiony w dowolne miejsce we wszechświecie w dowolnym czasie. Wydarzenie ukazane w wizji niekoniecznie dzieją się w miejscu i czasie, w jakich żyje prorok. Jednak kiedy wizja jest następnie objaśniana, to takie objaśnienie zawsze jest udzielane z perspektywy czasu, miejsca i okoliczności, w których znajduje się prorok.</w:t>
      </w:r>
    </w:p>
    <w:p w:rsidR="00803076" w:rsidRPr="00803076" w:rsidRDefault="00803076" w:rsidP="00803076">
      <w:pPr>
        <w:jc w:val="both"/>
        <w:rPr>
          <w:rFonts w:ascii="Times New Roman" w:hAnsi="Times New Roman" w:cs="Times New Roman"/>
        </w:rPr>
      </w:pPr>
      <w:r w:rsidRPr="00803076">
        <w:rPr>
          <w:rFonts w:ascii="Times New Roman" w:hAnsi="Times New Roman" w:cs="Times New Roman"/>
        </w:rPr>
        <w:t xml:space="preserve">Na przykład, w </w:t>
      </w:r>
      <w:proofErr w:type="spellStart"/>
      <w:r w:rsidRPr="00803076">
        <w:rPr>
          <w:rFonts w:ascii="Times New Roman" w:hAnsi="Times New Roman" w:cs="Times New Roman"/>
        </w:rPr>
        <w:t>Dn</w:t>
      </w:r>
      <w:proofErr w:type="spellEnd"/>
      <w:r w:rsidRPr="00803076">
        <w:rPr>
          <w:rFonts w:ascii="Times New Roman" w:hAnsi="Times New Roman" w:cs="Times New Roman"/>
        </w:rPr>
        <w:t xml:space="preserve"> 2 </w:t>
      </w:r>
      <w:proofErr w:type="spellStart"/>
      <w:r w:rsidRPr="00803076">
        <w:rPr>
          <w:rFonts w:ascii="Times New Roman" w:hAnsi="Times New Roman" w:cs="Times New Roman"/>
        </w:rPr>
        <w:t>Nebukadnesar</w:t>
      </w:r>
      <w:proofErr w:type="spellEnd"/>
      <w:r w:rsidRPr="00803076">
        <w:rPr>
          <w:rFonts w:ascii="Times New Roman" w:hAnsi="Times New Roman" w:cs="Times New Roman"/>
        </w:rPr>
        <w:t xml:space="preserve"> zostaje przeniesiony do czasu końca świata w wizji wielkiego posągu i kamienia, który stał się wielką górą i wypełnił całą ziemię (</w:t>
      </w:r>
      <w:proofErr w:type="spellStart"/>
      <w:r w:rsidRPr="00803076">
        <w:rPr>
          <w:rFonts w:ascii="Times New Roman" w:hAnsi="Times New Roman" w:cs="Times New Roman"/>
        </w:rPr>
        <w:t>Dn</w:t>
      </w:r>
      <w:proofErr w:type="spellEnd"/>
      <w:r w:rsidRPr="00803076">
        <w:rPr>
          <w:rFonts w:ascii="Times New Roman" w:hAnsi="Times New Roman" w:cs="Times New Roman"/>
        </w:rPr>
        <w:t xml:space="preserve"> 2,31-36). Objaśnienie wizji przez Daniela jest jednak zdecydowanie ugruntowane w czasie i miejscu </w:t>
      </w:r>
      <w:proofErr w:type="spellStart"/>
      <w:r w:rsidRPr="00803076">
        <w:rPr>
          <w:rFonts w:ascii="Times New Roman" w:hAnsi="Times New Roman" w:cs="Times New Roman"/>
        </w:rPr>
        <w:t>Nebukadnesara</w:t>
      </w:r>
      <w:proofErr w:type="spellEnd"/>
      <w:r w:rsidRPr="00803076">
        <w:rPr>
          <w:rFonts w:ascii="Times New Roman" w:hAnsi="Times New Roman" w:cs="Times New Roman"/>
        </w:rPr>
        <w:t>. Zaczyna się bezpośrednim, jednoznacznym oświadczeniem: „</w:t>
      </w:r>
      <w:r w:rsidRPr="00803076">
        <w:rPr>
          <w:rFonts w:ascii="Times New Roman" w:hAnsi="Times New Roman" w:cs="Times New Roman"/>
          <w:color w:val="000000"/>
          <w:szCs w:val="30"/>
        </w:rPr>
        <w:t>Ty jesteś głową ze złota</w:t>
      </w:r>
      <w:r w:rsidRPr="00803076">
        <w:rPr>
          <w:rFonts w:ascii="Times New Roman" w:hAnsi="Times New Roman" w:cs="Times New Roman"/>
        </w:rPr>
        <w:t>” (</w:t>
      </w:r>
      <w:proofErr w:type="spellStart"/>
      <w:r w:rsidRPr="00803076">
        <w:rPr>
          <w:rFonts w:ascii="Times New Roman" w:hAnsi="Times New Roman" w:cs="Times New Roman"/>
        </w:rPr>
        <w:t>Dn</w:t>
      </w:r>
      <w:proofErr w:type="spellEnd"/>
      <w:r w:rsidRPr="00803076">
        <w:rPr>
          <w:rFonts w:ascii="Times New Roman" w:hAnsi="Times New Roman" w:cs="Times New Roman"/>
        </w:rPr>
        <w:t xml:space="preserve"> 2,38). Następnie </w:t>
      </w:r>
      <w:proofErr w:type="spellStart"/>
      <w:r w:rsidRPr="00803076">
        <w:rPr>
          <w:rFonts w:ascii="Times New Roman" w:hAnsi="Times New Roman" w:cs="Times New Roman"/>
        </w:rPr>
        <w:lastRenderedPageBreak/>
        <w:t>Nebukadnesarowi</w:t>
      </w:r>
      <w:proofErr w:type="spellEnd"/>
      <w:r w:rsidRPr="00803076">
        <w:rPr>
          <w:rFonts w:ascii="Times New Roman" w:hAnsi="Times New Roman" w:cs="Times New Roman"/>
        </w:rPr>
        <w:t xml:space="preserve"> wyjaśniono, że po jego królestwie nastaną inne kolejne królestwa, kiedy przyjdzie ich pora.</w:t>
      </w:r>
    </w:p>
    <w:p w:rsidR="00803076" w:rsidRPr="00803076" w:rsidRDefault="00803076" w:rsidP="00803076">
      <w:pPr>
        <w:jc w:val="both"/>
        <w:rPr>
          <w:rFonts w:ascii="Times New Roman" w:hAnsi="Times New Roman" w:cs="Times New Roman"/>
        </w:rPr>
      </w:pPr>
      <w:r w:rsidRPr="00803076">
        <w:rPr>
          <w:rFonts w:ascii="Times New Roman" w:hAnsi="Times New Roman" w:cs="Times New Roman"/>
        </w:rPr>
        <w:t xml:space="preserve">Podobnie jak </w:t>
      </w:r>
      <w:proofErr w:type="spellStart"/>
      <w:r w:rsidRPr="00803076">
        <w:rPr>
          <w:rFonts w:ascii="Times New Roman" w:hAnsi="Times New Roman" w:cs="Times New Roman"/>
        </w:rPr>
        <w:t>Dn</w:t>
      </w:r>
      <w:proofErr w:type="spellEnd"/>
      <w:r w:rsidRPr="00803076">
        <w:rPr>
          <w:rFonts w:ascii="Times New Roman" w:hAnsi="Times New Roman" w:cs="Times New Roman"/>
        </w:rPr>
        <w:t xml:space="preserve"> 2, apokaliptyczne proroctwo w </w:t>
      </w:r>
      <w:proofErr w:type="spellStart"/>
      <w:r w:rsidRPr="00803076">
        <w:rPr>
          <w:rFonts w:ascii="Times New Roman" w:hAnsi="Times New Roman" w:cs="Times New Roman"/>
        </w:rPr>
        <w:t>Dn</w:t>
      </w:r>
      <w:proofErr w:type="spellEnd"/>
      <w:r w:rsidRPr="00803076">
        <w:rPr>
          <w:rFonts w:ascii="Times New Roman" w:hAnsi="Times New Roman" w:cs="Times New Roman"/>
        </w:rPr>
        <w:t xml:space="preserve"> 7 także dzieli się na dwie części: opis wizji (</w:t>
      </w:r>
      <w:proofErr w:type="spellStart"/>
      <w:r w:rsidRPr="00803076">
        <w:rPr>
          <w:rFonts w:ascii="Times New Roman" w:hAnsi="Times New Roman" w:cs="Times New Roman"/>
        </w:rPr>
        <w:t>Dn</w:t>
      </w:r>
      <w:proofErr w:type="spellEnd"/>
      <w:r w:rsidRPr="00803076">
        <w:rPr>
          <w:rFonts w:ascii="Times New Roman" w:hAnsi="Times New Roman" w:cs="Times New Roman"/>
        </w:rPr>
        <w:t xml:space="preserve"> 7,2-14.21-22) oraz objaśnienie wizji (</w:t>
      </w:r>
      <w:proofErr w:type="spellStart"/>
      <w:r w:rsidRPr="00803076">
        <w:rPr>
          <w:rFonts w:ascii="Times New Roman" w:hAnsi="Times New Roman" w:cs="Times New Roman"/>
        </w:rPr>
        <w:t>Dn</w:t>
      </w:r>
      <w:proofErr w:type="spellEnd"/>
      <w:r w:rsidRPr="00803076">
        <w:rPr>
          <w:rFonts w:ascii="Times New Roman" w:hAnsi="Times New Roman" w:cs="Times New Roman"/>
        </w:rPr>
        <w:t xml:space="preserve"> 7,15-20.23-27). Choć Daniel doświadczył wszystkich elementów wizji, w tym dotyczących wydarzeń czasów końca, objaśnienie wyjaśnia, że wizja dotyczy głównie przyszłych doświadczeń ludu Daniela (</w:t>
      </w:r>
      <w:proofErr w:type="spellStart"/>
      <w:r w:rsidRPr="00803076">
        <w:rPr>
          <w:rFonts w:ascii="Times New Roman" w:hAnsi="Times New Roman" w:cs="Times New Roman"/>
        </w:rPr>
        <w:t>Dn</w:t>
      </w:r>
      <w:proofErr w:type="spellEnd"/>
      <w:r w:rsidRPr="00803076">
        <w:rPr>
          <w:rFonts w:ascii="Times New Roman" w:hAnsi="Times New Roman" w:cs="Times New Roman"/>
        </w:rPr>
        <w:t xml:space="preserve"> 7,17-18.23-27). Podobny wzorzec jest widoczny w </w:t>
      </w:r>
      <w:proofErr w:type="spellStart"/>
      <w:r w:rsidRPr="00803076">
        <w:rPr>
          <w:rFonts w:ascii="Times New Roman" w:hAnsi="Times New Roman" w:cs="Times New Roman"/>
        </w:rPr>
        <w:t>Dn</w:t>
      </w:r>
      <w:proofErr w:type="spellEnd"/>
      <w:r w:rsidRPr="00803076">
        <w:rPr>
          <w:rFonts w:ascii="Times New Roman" w:hAnsi="Times New Roman" w:cs="Times New Roman"/>
        </w:rPr>
        <w:t xml:space="preserve"> 8 i Za 4.</w:t>
      </w:r>
    </w:p>
    <w:p w:rsidR="00803076" w:rsidRPr="00803076" w:rsidRDefault="00803076" w:rsidP="00803076">
      <w:pPr>
        <w:jc w:val="both"/>
        <w:rPr>
          <w:rFonts w:ascii="Times New Roman" w:hAnsi="Times New Roman" w:cs="Times New Roman"/>
        </w:rPr>
      </w:pPr>
      <w:r w:rsidRPr="00803076">
        <w:rPr>
          <w:rFonts w:ascii="Times New Roman" w:hAnsi="Times New Roman" w:cs="Times New Roman"/>
        </w:rPr>
        <w:t xml:space="preserve">Prorocy zazwyczaj nie rozumieli objawienia po samym ujrzeniu wizji. Objaśnienie było konieczne, by objawienie stało się zrozumiałe. Ponieważ objaśnienie to było udzielane w pierwszym rzędzie dla dobra proroka, było ugruntowane w </w:t>
      </w:r>
      <w:proofErr w:type="spellStart"/>
      <w:r w:rsidRPr="00803076">
        <w:rPr>
          <w:rFonts w:ascii="Times New Roman" w:hAnsi="Times New Roman" w:cs="Times New Roman"/>
        </w:rPr>
        <w:t>czasie,miejscu</w:t>
      </w:r>
      <w:proofErr w:type="spellEnd"/>
      <w:r w:rsidRPr="00803076">
        <w:rPr>
          <w:rFonts w:ascii="Times New Roman" w:hAnsi="Times New Roman" w:cs="Times New Roman"/>
        </w:rPr>
        <w:t xml:space="preserve"> i okolicznościach życia proroka. Ta zasada ma głębokie znaczenie dla interpretacji trudnych fragmentów </w:t>
      </w:r>
      <w:r w:rsidRPr="00803076">
        <w:rPr>
          <w:rFonts w:ascii="Times New Roman" w:hAnsi="Times New Roman" w:cs="Times New Roman"/>
          <w:i/>
          <w:iCs/>
        </w:rPr>
        <w:t>Apokalipsy Jana</w:t>
      </w:r>
      <w:r w:rsidRPr="00803076">
        <w:rPr>
          <w:rFonts w:ascii="Times New Roman" w:hAnsi="Times New Roman" w:cs="Times New Roman"/>
        </w:rPr>
        <w:t xml:space="preserve">, takich jak 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17,7-11, jak przekonamy się w punkcie III.</w:t>
      </w:r>
    </w:p>
    <w:p w:rsidR="00803076" w:rsidRPr="00803076" w:rsidRDefault="00803076" w:rsidP="00803076">
      <w:pPr>
        <w:jc w:val="both"/>
        <w:rPr>
          <w:rFonts w:ascii="Times New Roman" w:hAnsi="Times New Roman" w:cs="Times New Roman"/>
        </w:rPr>
      </w:pPr>
      <w:r w:rsidRPr="00803076">
        <w:rPr>
          <w:rFonts w:ascii="Times New Roman" w:hAnsi="Times New Roman" w:cs="Times New Roman"/>
          <w:b/>
          <w:bCs/>
        </w:rPr>
        <w:t xml:space="preserve">III. Tożsamość siedmiu królów z </w:t>
      </w:r>
      <w:proofErr w:type="spellStart"/>
      <w:r w:rsidRPr="00803076">
        <w:rPr>
          <w:rFonts w:ascii="Times New Roman" w:hAnsi="Times New Roman" w:cs="Times New Roman"/>
          <w:b/>
          <w:bCs/>
        </w:rPr>
        <w:t>Ap</w:t>
      </w:r>
      <w:proofErr w:type="spellEnd"/>
      <w:r w:rsidRPr="00803076">
        <w:rPr>
          <w:rFonts w:ascii="Times New Roman" w:hAnsi="Times New Roman" w:cs="Times New Roman"/>
          <w:b/>
          <w:bCs/>
        </w:rPr>
        <w:t xml:space="preserve"> 17,10.</w:t>
      </w:r>
    </w:p>
    <w:p w:rsidR="00803076" w:rsidRPr="00803076" w:rsidRDefault="00803076" w:rsidP="00803076">
      <w:pPr>
        <w:ind w:firstLine="708"/>
        <w:jc w:val="both"/>
        <w:rPr>
          <w:rFonts w:ascii="Times New Roman" w:hAnsi="Times New Roman" w:cs="Times New Roman"/>
        </w:rPr>
      </w:pPr>
      <w:r w:rsidRPr="00803076">
        <w:rPr>
          <w:rFonts w:ascii="Times New Roman" w:hAnsi="Times New Roman" w:cs="Times New Roman"/>
        </w:rPr>
        <w:t xml:space="preserve">Punkt II zawiera informacje, które pomogą nam rozwikłać jeden z największych problemów </w:t>
      </w:r>
      <w:r w:rsidRPr="00803076">
        <w:rPr>
          <w:rFonts w:ascii="Times New Roman" w:hAnsi="Times New Roman" w:cs="Times New Roman"/>
          <w:i/>
          <w:iCs/>
        </w:rPr>
        <w:t>Apokalipsy Jana</w:t>
      </w:r>
      <w:r w:rsidRPr="00803076">
        <w:rPr>
          <w:rFonts w:ascii="Times New Roman" w:hAnsi="Times New Roman" w:cs="Times New Roman"/>
        </w:rPr>
        <w:t xml:space="preserve">. </w:t>
      </w:r>
      <w:r w:rsidRPr="00803076">
        <w:rPr>
          <w:rFonts w:ascii="Times New Roman" w:hAnsi="Times New Roman" w:cs="Times New Roman"/>
          <w:i/>
          <w:iCs/>
        </w:rPr>
        <w:t xml:space="preserve">Kim jest siedmiu królów z </w:t>
      </w:r>
      <w:proofErr w:type="spellStart"/>
      <w:r w:rsidRPr="00803076">
        <w:rPr>
          <w:rFonts w:ascii="Times New Roman" w:hAnsi="Times New Roman" w:cs="Times New Roman"/>
          <w:i/>
          <w:iCs/>
        </w:rPr>
        <w:t>Ap</w:t>
      </w:r>
      <w:proofErr w:type="spellEnd"/>
      <w:r w:rsidRPr="00803076">
        <w:rPr>
          <w:rFonts w:ascii="Times New Roman" w:hAnsi="Times New Roman" w:cs="Times New Roman"/>
          <w:i/>
          <w:iCs/>
        </w:rPr>
        <w:t xml:space="preserve"> 17,10? Najwyraźniej następują oni jeden po drugim, ale kim jest pierwszy z nich i kim jest ten, który „jest” w objaśnieniu udzielonym przez anioła? Czy jest to potęga z czasów Jana, czy może z innego okresu dziejów świata?</w:t>
      </w:r>
    </w:p>
    <w:p w:rsidR="00803076" w:rsidRPr="00803076" w:rsidRDefault="00803076" w:rsidP="00803076">
      <w:pPr>
        <w:ind w:firstLine="708"/>
        <w:jc w:val="both"/>
        <w:rPr>
          <w:rFonts w:ascii="Times New Roman" w:hAnsi="Times New Roman" w:cs="Times New Roman"/>
        </w:rPr>
      </w:pPr>
      <w:r w:rsidRPr="00803076">
        <w:rPr>
          <w:rFonts w:ascii="Times New Roman" w:hAnsi="Times New Roman" w:cs="Times New Roman"/>
        </w:rPr>
        <w:t>Jeden z popularnych poglądów widzi siedmiu królów jako siedmiu kolejnych papieży. Zazwyczaj sekwencja ta ma zaczynać się w 1929 roku, kiedy Mussolini zwrócić Watykan władzy kościelnej, a kończyć się na ostatnim papieżu w historii świata. Ten pogląd często zakłada, że obecny papież jest ostatnim lub przedostatnim w dziejach. Tak więc pogląd ten nieuchronnie prowadzi jego zwolenników do wyznaczania dat związanych z końcem świata.</w:t>
      </w:r>
    </w:p>
    <w:p w:rsidR="00803076" w:rsidRPr="00803076" w:rsidRDefault="00803076" w:rsidP="00803076">
      <w:pPr>
        <w:ind w:firstLine="708"/>
        <w:jc w:val="both"/>
        <w:rPr>
          <w:rFonts w:ascii="Times New Roman" w:hAnsi="Times New Roman" w:cs="Times New Roman"/>
        </w:rPr>
      </w:pPr>
      <w:r w:rsidRPr="00803076">
        <w:rPr>
          <w:rFonts w:ascii="Times New Roman" w:hAnsi="Times New Roman" w:cs="Times New Roman"/>
        </w:rPr>
        <w:t xml:space="preserve">Drugi pogląd jest dość popularny wśród adwentystycznych uczonych. Sugeruje, że czas szóstego króla (tego, który „jest” w 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17,10) to okres w latach 1798-1929, kiedy papiestwo było pozbawione świeckiej władzy. Pięcioma wcześniejszymi „królami” miałyby być Babilon, Persja, Grecja, Rzym i średniowieczne papiestwo. Tym, który „jest” miałoby być papiestwo pozbawione doczesnej władzy. Siódmym królem miałoby być papiestwo obecnie, przywrócone do władzy jako państwo watykańskie.</w:t>
      </w:r>
    </w:p>
    <w:p w:rsidR="00803076" w:rsidRPr="00803076" w:rsidRDefault="00803076" w:rsidP="00803076">
      <w:pPr>
        <w:ind w:firstLine="708"/>
        <w:jc w:val="both"/>
        <w:rPr>
          <w:rFonts w:ascii="Times New Roman" w:hAnsi="Times New Roman" w:cs="Times New Roman"/>
        </w:rPr>
      </w:pPr>
      <w:r w:rsidRPr="00803076">
        <w:rPr>
          <w:rFonts w:ascii="Times New Roman" w:hAnsi="Times New Roman" w:cs="Times New Roman"/>
        </w:rPr>
        <w:t>Jednak wskazówki zawarte w powyższym punkcie II. wykluczają oba te poglądy. Fragment o siedmiu królach nie jest zawarty w zapisie wizji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17,3-6), ale w objaśnieniu wizji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17,7-18). Tak więc król czy królestwo, które „jest” musiało istnieć w czasie, w którym żył Jan i w którym otrzymał wizję. Jedynie wówczas objaśnienie to ma sens. Jeśli tym królestwem, które „jest”, było pogańskie imperium rzymskie w czasach Jana (szóste królestwo), to pięcioma, które „upadły” mogą być wcześniejsze potęgi starożytnego świata (ściśle związane z losami ludu Bożego - </w:t>
      </w:r>
      <w:r w:rsidRPr="00803076">
        <w:rPr>
          <w:rFonts w:ascii="Times New Roman" w:hAnsi="Times New Roman" w:cs="Times New Roman"/>
          <w:i/>
          <w:iCs/>
        </w:rPr>
        <w:t>przyp. tłum.</w:t>
      </w:r>
      <w:r w:rsidRPr="00803076">
        <w:rPr>
          <w:rFonts w:ascii="Times New Roman" w:hAnsi="Times New Roman" w:cs="Times New Roman"/>
        </w:rPr>
        <w:t>): Egipt, Asyria, Babilon, Persja i Grecja. Siódmym królestwem jest średniowieczne papiestwo, a „ósmym” królestwem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17,11), które jest jednym z siedmiu, byłoby odrodzone rzymskie papiestwo - Babilon z 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17, obejmujący także dwóch innych uczestników szatańskiej triady („smoka” czyli pogaństwo i spirytyzm oraz „fałszywego proroka” czyli odstępczy protestantyzm). Ta globalna forma Babilonu dosiadającego szkarłatnej bestii politycznej mocy wciąż jeszcze należy do przyszłości.</w:t>
      </w:r>
    </w:p>
    <w:p w:rsidR="00803076" w:rsidRPr="00803076" w:rsidRDefault="00803076" w:rsidP="00803076">
      <w:pPr>
        <w:jc w:val="both"/>
        <w:rPr>
          <w:rFonts w:ascii="Times New Roman" w:hAnsi="Times New Roman" w:cs="Times New Roman"/>
        </w:rPr>
      </w:pPr>
    </w:p>
    <w:p w:rsidR="00803076" w:rsidRPr="00803076" w:rsidRDefault="00803076" w:rsidP="00803076">
      <w:pPr>
        <w:jc w:val="both"/>
        <w:rPr>
          <w:rFonts w:ascii="Times New Roman" w:hAnsi="Times New Roman" w:cs="Times New Roman"/>
          <w:b/>
          <w:bCs/>
        </w:rPr>
      </w:pPr>
      <w:r w:rsidRPr="00803076">
        <w:rPr>
          <w:rFonts w:ascii="Times New Roman" w:hAnsi="Times New Roman" w:cs="Times New Roman"/>
          <w:b/>
          <w:bCs/>
        </w:rPr>
        <w:t xml:space="preserve">IV. Narracja </w:t>
      </w:r>
      <w:proofErr w:type="spellStart"/>
      <w:r w:rsidRPr="00803076">
        <w:rPr>
          <w:rFonts w:ascii="Times New Roman" w:hAnsi="Times New Roman" w:cs="Times New Roman"/>
          <w:b/>
          <w:bCs/>
        </w:rPr>
        <w:t>Ap</w:t>
      </w:r>
      <w:proofErr w:type="spellEnd"/>
      <w:r w:rsidRPr="00803076">
        <w:rPr>
          <w:rFonts w:ascii="Times New Roman" w:hAnsi="Times New Roman" w:cs="Times New Roman"/>
          <w:b/>
          <w:bCs/>
        </w:rPr>
        <w:t xml:space="preserve"> 17.</w:t>
      </w:r>
    </w:p>
    <w:p w:rsidR="00803076" w:rsidRPr="00803076" w:rsidRDefault="00803076" w:rsidP="00803076">
      <w:pPr>
        <w:ind w:firstLine="708"/>
        <w:jc w:val="both"/>
        <w:rPr>
          <w:rFonts w:ascii="Times New Roman" w:hAnsi="Times New Roman" w:cs="Times New Roman"/>
        </w:rPr>
      </w:pPr>
      <w:r w:rsidRPr="00803076">
        <w:rPr>
          <w:rFonts w:ascii="Times New Roman" w:hAnsi="Times New Roman" w:cs="Times New Roman"/>
        </w:rPr>
        <w:t xml:space="preserve">Jak zauważyliśmy w punkcie I., trzy ogólnoświatowe </w:t>
      </w:r>
      <w:proofErr w:type="spellStart"/>
      <w:r w:rsidRPr="00803076">
        <w:rPr>
          <w:rFonts w:ascii="Times New Roman" w:hAnsi="Times New Roman" w:cs="Times New Roman"/>
        </w:rPr>
        <w:t>aliansy</w:t>
      </w:r>
      <w:proofErr w:type="spellEnd"/>
      <w:r w:rsidRPr="00803076">
        <w:rPr>
          <w:rFonts w:ascii="Times New Roman" w:hAnsi="Times New Roman" w:cs="Times New Roman"/>
        </w:rPr>
        <w:t xml:space="preserve"> rozwiną się w czasie końca: alians świętych złożony z poszerzonej reszty, obejmujący tych, którzy wyszli z Babilonu, by przyłączyć się do Bożej reszty, alians religijnych instytucji przeciwnych Bogu i Jego ludowi oraz alians świeckich potęg politycznych. Dwa ostatnie alianse powstaną w opozycji do finalnego, ogólnoświatowego </w:t>
      </w:r>
      <w:r w:rsidRPr="00803076">
        <w:rPr>
          <w:rFonts w:ascii="Times New Roman" w:hAnsi="Times New Roman" w:cs="Times New Roman"/>
        </w:rPr>
        <w:lastRenderedPageBreak/>
        <w:t>głoszenia ewangelii przez resztę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14,6-7; 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18,1-4). Za pomocą fałszywej ewangelii „inspirowanej” przez demonicznych aniołów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16,13-14) Babilon (szatańska triada [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16,19]) zgromadzi po swojej stronie moce świeckie i polityczne w skali globalnej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16,14.16). Babilon przedstawiony jako niewiasta dosiada bestii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17,2-7). Przez krótki czas sprzymierzone instytucje religijne zdominują władze polityczne świata kierując ich wściekłość przeciwko świętym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17,6; 13,15-17). Ale osuszenie Eufratu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16,12) symbolicznie przedstawia czas, kiedy siły świeckie i polityczne wspierające wszetecznicę Babilon odwrócą się od niej i zniszczą ją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17,16). Bóg uratuje swoją resztę w czasie końca przed zagładą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17,14). Po upadku Babilonu </w:t>
      </w:r>
      <w:proofErr w:type="spellStart"/>
      <w:r w:rsidRPr="00803076">
        <w:rPr>
          <w:rFonts w:ascii="Times New Roman" w:hAnsi="Times New Roman" w:cs="Times New Roman"/>
        </w:rPr>
        <w:t>głobalne</w:t>
      </w:r>
      <w:proofErr w:type="spellEnd"/>
      <w:r w:rsidRPr="00803076">
        <w:rPr>
          <w:rFonts w:ascii="Times New Roman" w:hAnsi="Times New Roman" w:cs="Times New Roman"/>
        </w:rPr>
        <w:t xml:space="preserve"> siły świeckie dojdą do swego końca podczas powtórnego przyjścia Jezusa Chrystusa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19,17-21).</w:t>
      </w:r>
    </w:p>
    <w:p w:rsidR="00803076" w:rsidRPr="00803076" w:rsidRDefault="00803076" w:rsidP="00803076">
      <w:pPr>
        <w:jc w:val="both"/>
        <w:rPr>
          <w:rFonts w:ascii="Times New Roman" w:hAnsi="Times New Roman" w:cs="Times New Roman"/>
        </w:rPr>
      </w:pPr>
    </w:p>
    <w:p w:rsidR="00803076" w:rsidRPr="00803076" w:rsidRDefault="00803076" w:rsidP="00803076">
      <w:pPr>
        <w:jc w:val="both"/>
        <w:rPr>
          <w:rFonts w:ascii="Times New Roman" w:hAnsi="Times New Roman" w:cs="Times New Roman"/>
        </w:rPr>
      </w:pPr>
      <w:r w:rsidRPr="00803076">
        <w:rPr>
          <w:rFonts w:ascii="Times New Roman" w:hAnsi="Times New Roman" w:cs="Times New Roman"/>
          <w:b/>
        </w:rPr>
        <w:t>Część III: Praktyczne zastosowanie</w:t>
      </w:r>
    </w:p>
    <w:p w:rsidR="00803076" w:rsidRPr="00803076" w:rsidRDefault="00803076" w:rsidP="00803076">
      <w:pPr>
        <w:ind w:firstLine="708"/>
        <w:jc w:val="both"/>
        <w:rPr>
          <w:rFonts w:ascii="Times New Roman" w:hAnsi="Times New Roman" w:cs="Times New Roman"/>
        </w:rPr>
      </w:pPr>
      <w:r w:rsidRPr="00803076">
        <w:rPr>
          <w:rFonts w:ascii="Times New Roman" w:hAnsi="Times New Roman" w:cs="Times New Roman"/>
        </w:rPr>
        <w:t>We fragmencie całkowicie poświęconym wydarzeniom czasów końca doszukanie się praktycznego zastosowania może się okazać trudne. Poniższe propozycje mogą je ułatwić.</w:t>
      </w:r>
    </w:p>
    <w:p w:rsidR="00803076" w:rsidRPr="00803076" w:rsidRDefault="00803076" w:rsidP="00803076">
      <w:pPr>
        <w:ind w:firstLine="708"/>
        <w:jc w:val="both"/>
        <w:rPr>
          <w:rFonts w:ascii="Times New Roman" w:hAnsi="Times New Roman" w:cs="Times New Roman"/>
        </w:rPr>
      </w:pPr>
      <w:r w:rsidRPr="00803076">
        <w:rPr>
          <w:rFonts w:ascii="Times New Roman" w:hAnsi="Times New Roman" w:cs="Times New Roman"/>
        </w:rPr>
        <w:t xml:space="preserve">1. </w:t>
      </w:r>
      <w:r w:rsidRPr="00803076">
        <w:rPr>
          <w:rFonts w:ascii="Times New Roman" w:hAnsi="Times New Roman" w:cs="Times New Roman"/>
          <w:i/>
          <w:iCs/>
        </w:rPr>
        <w:t>Co wynika dla nas obecnie ze świadomości, że jako wierny lud Boży, Boża reszta, mamy wzywać innych wiernych wyznawców Boga do wyjścia z Babilonu</w:t>
      </w:r>
      <w:r w:rsidRPr="00803076">
        <w:rPr>
          <w:rFonts w:ascii="Times New Roman" w:hAnsi="Times New Roman" w:cs="Times New Roman"/>
        </w:rPr>
        <w:t xml:space="preserve">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18,4)? Świadomość, iż eschatologiczny Babilon ma pozorne chrześcijańskie oblicze nie powinna nas zwieść co do jego prawdziwej natury jako głównego wroga Boga w czasie końca. Pamiętajmy jednak, że choć przywódcy religijni i polityczni zeloci jednakowo sprzeciwiali się misji Jezusa, On zawsze łaskawie traktował osoby należące do tych grup (</w:t>
      </w:r>
      <w:proofErr w:type="spellStart"/>
      <w:r w:rsidRPr="00803076">
        <w:rPr>
          <w:rFonts w:ascii="Times New Roman" w:hAnsi="Times New Roman" w:cs="Times New Roman"/>
        </w:rPr>
        <w:t>Łk</w:t>
      </w:r>
      <w:proofErr w:type="spellEnd"/>
      <w:r w:rsidRPr="00803076">
        <w:rPr>
          <w:rFonts w:ascii="Times New Roman" w:hAnsi="Times New Roman" w:cs="Times New Roman"/>
        </w:rPr>
        <w:t xml:space="preserve"> 6,15; </w:t>
      </w:r>
      <w:proofErr w:type="spellStart"/>
      <w:r w:rsidRPr="00803076">
        <w:rPr>
          <w:rFonts w:ascii="Times New Roman" w:hAnsi="Times New Roman" w:cs="Times New Roman"/>
        </w:rPr>
        <w:t>Mk</w:t>
      </w:r>
      <w:proofErr w:type="spellEnd"/>
      <w:r w:rsidRPr="00803076">
        <w:rPr>
          <w:rFonts w:ascii="Times New Roman" w:hAnsi="Times New Roman" w:cs="Times New Roman"/>
        </w:rPr>
        <w:t xml:space="preserve"> 12,28-34).</w:t>
      </w:r>
    </w:p>
    <w:p w:rsidR="00803076" w:rsidRPr="00803076" w:rsidRDefault="00803076" w:rsidP="00803076">
      <w:pPr>
        <w:ind w:firstLine="708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803076">
        <w:rPr>
          <w:rFonts w:ascii="Times New Roman" w:hAnsi="Times New Roman" w:cs="Times New Roman"/>
        </w:rPr>
        <w:t xml:space="preserve">2. </w:t>
      </w:r>
      <w:r w:rsidRPr="00803076">
        <w:rPr>
          <w:rFonts w:ascii="Times New Roman" w:hAnsi="Times New Roman" w:cs="Times New Roman"/>
          <w:i/>
          <w:iCs/>
        </w:rPr>
        <w:t xml:space="preserve">Czego możemy się nauczyć z opisów kobiet w </w:t>
      </w:r>
      <w:proofErr w:type="spellStart"/>
      <w:r w:rsidRPr="00803076">
        <w:rPr>
          <w:rFonts w:ascii="Times New Roman" w:hAnsi="Times New Roman" w:cs="Times New Roman"/>
          <w:i/>
          <w:iCs/>
        </w:rPr>
        <w:t>Ap</w:t>
      </w:r>
      <w:proofErr w:type="spellEnd"/>
      <w:r w:rsidRPr="00803076">
        <w:rPr>
          <w:rFonts w:ascii="Times New Roman" w:hAnsi="Times New Roman" w:cs="Times New Roman"/>
          <w:i/>
          <w:iCs/>
        </w:rPr>
        <w:t xml:space="preserve"> 12 i </w:t>
      </w:r>
      <w:proofErr w:type="spellStart"/>
      <w:r w:rsidRPr="00803076">
        <w:rPr>
          <w:rFonts w:ascii="Times New Roman" w:hAnsi="Times New Roman" w:cs="Times New Roman"/>
          <w:i/>
          <w:iCs/>
        </w:rPr>
        <w:t>Ap</w:t>
      </w:r>
      <w:proofErr w:type="spellEnd"/>
      <w:r w:rsidRPr="00803076">
        <w:rPr>
          <w:rFonts w:ascii="Times New Roman" w:hAnsi="Times New Roman" w:cs="Times New Roman"/>
          <w:i/>
          <w:iCs/>
        </w:rPr>
        <w:t xml:space="preserve"> 17?</w:t>
      </w:r>
      <w:r w:rsidRPr="00803076">
        <w:rPr>
          <w:rFonts w:ascii="Times New Roman" w:hAnsi="Times New Roman" w:cs="Times New Roman"/>
        </w:rPr>
        <w:t xml:space="preserve"> Istnieją pewne podobieństwa między kobietami przedstawionymi w 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12 i 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17. Obie mają religijny charakter (wszetecznica Babilon symbolizuje fałszywą formę chrześcijaństwa). Jednak kobieta w 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12 jest wiernym Bożym Kościołem na przestrzeni dziejów, w tym </w:t>
      </w:r>
      <w:proofErr w:type="spellStart"/>
      <w:r w:rsidRPr="00803076">
        <w:rPr>
          <w:rFonts w:ascii="Times New Roman" w:hAnsi="Times New Roman" w:cs="Times New Roman"/>
        </w:rPr>
        <w:t>szczególnei</w:t>
      </w:r>
      <w:proofErr w:type="spellEnd"/>
      <w:r w:rsidRPr="00803076">
        <w:rPr>
          <w:rFonts w:ascii="Times New Roman" w:hAnsi="Times New Roman" w:cs="Times New Roman"/>
        </w:rPr>
        <w:t xml:space="preserve"> w okresie 1260 lat w dziejach chrześcijaństwa oraz potem jako reszta potomstwa kobiety. Jana zdumiewa (</w:t>
      </w:r>
      <w:proofErr w:type="spellStart"/>
      <w:r w:rsidRPr="00803076">
        <w:rPr>
          <w:rFonts w:ascii="Times New Roman" w:hAnsi="Times New Roman" w:cs="Times New Roman"/>
        </w:rPr>
        <w:t>Ap</w:t>
      </w:r>
      <w:proofErr w:type="spellEnd"/>
      <w:r w:rsidRPr="00803076">
        <w:rPr>
          <w:rFonts w:ascii="Times New Roman" w:hAnsi="Times New Roman" w:cs="Times New Roman"/>
        </w:rPr>
        <w:t xml:space="preserve"> 17,6) fakt, iż przeciwnikiem Boga i Jego ludu w czasie końca jest także kobieta, a zatem instytucja mająca rzekomo chrześcijańskie oblicze! Dla każdego wyznawcy Jezusa z osobna fakt ten powinien być trzeźwiącą lekcją. Pycha i upór mogą nas doprowadzić do upadku, nawet jeśli uważamy się za wiernych wyznawców Boga (J 16,2).</w:t>
      </w:r>
    </w:p>
    <w:p w:rsidR="006921DC" w:rsidRPr="00803076" w:rsidRDefault="006921DC" w:rsidP="00803076">
      <w:pPr>
        <w:spacing w:line="360" w:lineRule="auto"/>
        <w:jc w:val="both"/>
        <w:rPr>
          <w:rFonts w:ascii="Times New Roman" w:hAnsi="Times New Roman" w:cs="Times New Roman"/>
        </w:rPr>
      </w:pPr>
    </w:p>
    <w:sectPr w:rsidR="006921DC" w:rsidRPr="0080307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CD7" w:rsidRDefault="00DF5CD7" w:rsidP="008C25AF">
      <w:pPr>
        <w:spacing w:after="0" w:line="240" w:lineRule="auto"/>
      </w:pPr>
      <w:r>
        <w:separator/>
      </w:r>
    </w:p>
  </w:endnote>
  <w:endnote w:type="continuationSeparator" w:id="0">
    <w:p w:rsidR="00DF5CD7" w:rsidRDefault="00DF5CD7" w:rsidP="008C25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3799675"/>
      <w:docPartObj>
        <w:docPartGallery w:val="Page Numbers (Bottom of Page)"/>
        <w:docPartUnique/>
      </w:docPartObj>
    </w:sdtPr>
    <w:sdtEndPr/>
    <w:sdtContent>
      <w:p w:rsidR="00B8752E" w:rsidRDefault="00B8752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3076">
          <w:rPr>
            <w:noProof/>
          </w:rPr>
          <w:t>4</w:t>
        </w:r>
        <w:r>
          <w:fldChar w:fldCharType="end"/>
        </w:r>
      </w:p>
    </w:sdtContent>
  </w:sdt>
  <w:p w:rsidR="00B8752E" w:rsidRDefault="00B875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CD7" w:rsidRDefault="00DF5CD7" w:rsidP="008C25AF">
      <w:pPr>
        <w:spacing w:after="0" w:line="240" w:lineRule="auto"/>
      </w:pPr>
      <w:r>
        <w:separator/>
      </w:r>
    </w:p>
  </w:footnote>
  <w:footnote w:type="continuationSeparator" w:id="0">
    <w:p w:rsidR="00DF5CD7" w:rsidRDefault="00DF5CD7" w:rsidP="008C25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752E" w:rsidRDefault="008C25AF">
    <w:pPr>
      <w:pStyle w:val="Nagwek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 xml:space="preserve">Lekcje biblijne </w:t>
    </w:r>
    <w:r w:rsidR="005F394F">
      <w:rPr>
        <w:rFonts w:ascii="Times New Roman" w:hAnsi="Times New Roman" w:cs="Times New Roman"/>
        <w:sz w:val="20"/>
      </w:rPr>
      <w:t>1</w:t>
    </w:r>
    <w:r>
      <w:rPr>
        <w:rFonts w:ascii="Times New Roman" w:hAnsi="Times New Roman" w:cs="Times New Roman"/>
        <w:sz w:val="20"/>
      </w:rPr>
      <w:t>/</w:t>
    </w:r>
    <w:r w:rsidR="00B8752E">
      <w:rPr>
        <w:rFonts w:ascii="Times New Roman" w:hAnsi="Times New Roman" w:cs="Times New Roman"/>
        <w:sz w:val="20"/>
      </w:rPr>
      <w:t>20</w:t>
    </w:r>
    <w:r>
      <w:rPr>
        <w:rFonts w:ascii="Times New Roman" w:hAnsi="Times New Roman" w:cs="Times New Roman"/>
        <w:sz w:val="20"/>
      </w:rPr>
      <w:t>19</w:t>
    </w:r>
    <w:r w:rsidR="00CA3230">
      <w:rPr>
        <w:rFonts w:ascii="Times New Roman" w:hAnsi="Times New Roman" w:cs="Times New Roman"/>
        <w:sz w:val="20"/>
      </w:rPr>
      <w:t>, Przewodnik dla nauczycieli,</w:t>
    </w:r>
    <w:r>
      <w:rPr>
        <w:rFonts w:ascii="Times New Roman" w:hAnsi="Times New Roman" w:cs="Times New Roman"/>
        <w:sz w:val="20"/>
      </w:rPr>
      <w:t xml:space="preserve"> </w:t>
    </w:r>
    <w:r w:rsidR="00B8752E">
      <w:rPr>
        <w:rFonts w:ascii="Times New Roman" w:hAnsi="Times New Roman" w:cs="Times New Roman"/>
        <w:sz w:val="20"/>
      </w:rPr>
      <w:t xml:space="preserve">Ranko </w:t>
    </w:r>
    <w:proofErr w:type="spellStart"/>
    <w:r w:rsidR="00B8752E">
      <w:rPr>
        <w:rFonts w:ascii="Times New Roman" w:hAnsi="Times New Roman" w:cs="Times New Roman"/>
        <w:sz w:val="20"/>
      </w:rPr>
      <w:t>Stefanovic</w:t>
    </w:r>
    <w:proofErr w:type="spellEnd"/>
    <w:r>
      <w:rPr>
        <w:rFonts w:ascii="Times New Roman" w:hAnsi="Times New Roman" w:cs="Times New Roman"/>
        <w:sz w:val="20"/>
      </w:rPr>
      <w:t>,</w:t>
    </w:r>
    <w:r w:rsidR="00B8752E">
      <w:rPr>
        <w:rFonts w:ascii="Times New Roman" w:hAnsi="Times New Roman" w:cs="Times New Roman"/>
        <w:sz w:val="20"/>
      </w:rPr>
      <w:t xml:space="preserve"> Księga Apokalipsy</w:t>
    </w:r>
  </w:p>
  <w:p w:rsidR="008C25AF" w:rsidRPr="008C25AF" w:rsidRDefault="00B8752E">
    <w:pPr>
      <w:pStyle w:val="Nagwek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  <w:t xml:space="preserve">Lekcja </w:t>
    </w:r>
    <w:r w:rsidR="001A5567">
      <w:rPr>
        <w:rFonts w:ascii="Times New Roman" w:hAnsi="Times New Roman" w:cs="Times New Roman"/>
        <w:sz w:val="20"/>
      </w:rPr>
      <w:t>1</w:t>
    </w:r>
    <w:r w:rsidR="00803076">
      <w:rPr>
        <w:rFonts w:ascii="Times New Roman" w:hAnsi="Times New Roman" w:cs="Times New Roman"/>
        <w:sz w:val="20"/>
      </w:rPr>
      <w:t>2</w:t>
    </w:r>
    <w:r>
      <w:rPr>
        <w:rFonts w:ascii="Times New Roman" w:hAnsi="Times New Roman" w:cs="Times New Roman"/>
        <w:sz w:val="20"/>
      </w:rPr>
      <w:t xml:space="preserve">, </w:t>
    </w:r>
    <w:r w:rsidR="00803076">
      <w:rPr>
        <w:rFonts w:ascii="Times New Roman" w:hAnsi="Times New Roman" w:cs="Times New Roman"/>
        <w:sz w:val="20"/>
      </w:rPr>
      <w:t>Sąd nad Babilonem</w:t>
    </w:r>
    <w:r w:rsidR="00441EA3">
      <w:rPr>
        <w:rFonts w:ascii="Times New Roman" w:hAnsi="Times New Roman" w:cs="Times New Roman"/>
        <w:sz w:val="20"/>
      </w:rPr>
      <w:t xml:space="preserve"> </w:t>
    </w:r>
    <w:r w:rsidR="008C25AF">
      <w:rPr>
        <w:rFonts w:ascii="Times New Roman" w:hAnsi="Times New Roman" w:cs="Times New Roman"/>
        <w:sz w:val="20"/>
      </w:rPr>
      <w:t xml:space="preserve"> </w:t>
    </w:r>
  </w:p>
  <w:p w:rsidR="008C25AF" w:rsidRDefault="008C25A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B4F"/>
    <w:rsid w:val="000037AA"/>
    <w:rsid w:val="001644AD"/>
    <w:rsid w:val="001A5567"/>
    <w:rsid w:val="001D0A74"/>
    <w:rsid w:val="002137B5"/>
    <w:rsid w:val="00222544"/>
    <w:rsid w:val="00263B1C"/>
    <w:rsid w:val="00284ED7"/>
    <w:rsid w:val="002A4E5C"/>
    <w:rsid w:val="0030620B"/>
    <w:rsid w:val="00335F09"/>
    <w:rsid w:val="0034420F"/>
    <w:rsid w:val="00361A37"/>
    <w:rsid w:val="0036663D"/>
    <w:rsid w:val="00375BD5"/>
    <w:rsid w:val="003F0CD5"/>
    <w:rsid w:val="00441EA3"/>
    <w:rsid w:val="00483B4F"/>
    <w:rsid w:val="004A47BB"/>
    <w:rsid w:val="004D3E20"/>
    <w:rsid w:val="004D727B"/>
    <w:rsid w:val="004F218C"/>
    <w:rsid w:val="00507D2A"/>
    <w:rsid w:val="0052520B"/>
    <w:rsid w:val="00555F7F"/>
    <w:rsid w:val="005B35E5"/>
    <w:rsid w:val="005F394F"/>
    <w:rsid w:val="005F7C03"/>
    <w:rsid w:val="00617A7C"/>
    <w:rsid w:val="006921DC"/>
    <w:rsid w:val="006C6909"/>
    <w:rsid w:val="006F3522"/>
    <w:rsid w:val="00745564"/>
    <w:rsid w:val="00803076"/>
    <w:rsid w:val="0081008B"/>
    <w:rsid w:val="00814DE4"/>
    <w:rsid w:val="008B01ED"/>
    <w:rsid w:val="008C25AF"/>
    <w:rsid w:val="008E4362"/>
    <w:rsid w:val="008F3E69"/>
    <w:rsid w:val="009043DC"/>
    <w:rsid w:val="00923F9C"/>
    <w:rsid w:val="00954F7E"/>
    <w:rsid w:val="00997B1B"/>
    <w:rsid w:val="009F0962"/>
    <w:rsid w:val="00AE2805"/>
    <w:rsid w:val="00B10A4B"/>
    <w:rsid w:val="00B8752E"/>
    <w:rsid w:val="00BA01E0"/>
    <w:rsid w:val="00BB7E08"/>
    <w:rsid w:val="00BC22F1"/>
    <w:rsid w:val="00BD549D"/>
    <w:rsid w:val="00BE7FE3"/>
    <w:rsid w:val="00BF0B0E"/>
    <w:rsid w:val="00C4411B"/>
    <w:rsid w:val="00C8305A"/>
    <w:rsid w:val="00C833B9"/>
    <w:rsid w:val="00CA3230"/>
    <w:rsid w:val="00CE103F"/>
    <w:rsid w:val="00DF5CD7"/>
    <w:rsid w:val="00E84093"/>
    <w:rsid w:val="00E87F40"/>
    <w:rsid w:val="00EC5F55"/>
    <w:rsid w:val="00F436E6"/>
    <w:rsid w:val="00F617CA"/>
    <w:rsid w:val="00FE37BC"/>
    <w:rsid w:val="00FE3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9E4D3"/>
  <w15:chartTrackingRefBased/>
  <w15:docId w15:val="{DCAB9A12-AB89-4285-95D9-2ED2A8C58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C25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5AF"/>
  </w:style>
  <w:style w:type="paragraph" w:styleId="Stopka">
    <w:name w:val="footer"/>
    <w:basedOn w:val="Normalny"/>
    <w:link w:val="StopkaZnak"/>
    <w:uiPriority w:val="99"/>
    <w:unhideWhenUsed/>
    <w:rsid w:val="008C25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5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1528</Words>
  <Characters>9173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remigiusz.krok@gmail.com</cp:lastModifiedBy>
  <cp:revision>3</cp:revision>
  <cp:lastPrinted>2019-01-07T22:14:00Z</cp:lastPrinted>
  <dcterms:created xsi:type="dcterms:W3CDTF">2019-01-07T22:17:00Z</dcterms:created>
  <dcterms:modified xsi:type="dcterms:W3CDTF">2019-02-22T17:58:00Z</dcterms:modified>
</cp:coreProperties>
</file>