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89E" w:rsidRPr="00896DEA" w:rsidRDefault="00B8589E" w:rsidP="00B8589E">
      <w:pPr>
        <w:rPr>
          <w:rFonts w:ascii="Times New Roman" w:hAnsi="Times New Roman"/>
          <w:sz w:val="22"/>
          <w:szCs w:val="22"/>
        </w:rPr>
      </w:pPr>
    </w:p>
    <w:p w:rsidR="00B8589E" w:rsidRDefault="00B8589E" w:rsidP="00B8589E">
      <w:pPr>
        <w:rPr>
          <w:rFonts w:ascii="Times New Roman" w:hAnsi="Times New Roman"/>
          <w:sz w:val="22"/>
          <w:szCs w:val="22"/>
        </w:rPr>
      </w:pPr>
      <w:r w:rsidRPr="00B8589E">
        <w:rPr>
          <w:rFonts w:ascii="Times New Roman" w:hAnsi="Times New Roman"/>
          <w:sz w:val="20"/>
          <w:szCs w:val="22"/>
        </w:rPr>
        <w:t xml:space="preserve">Lekcja </w:t>
      </w:r>
      <w:r w:rsidR="00821C1A">
        <w:rPr>
          <w:rFonts w:ascii="Times New Roman" w:hAnsi="Times New Roman"/>
          <w:sz w:val="20"/>
          <w:szCs w:val="22"/>
        </w:rPr>
        <w:t>6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821C1A">
        <w:rPr>
          <w:rFonts w:ascii="Times New Roman" w:hAnsi="Times New Roman"/>
          <w:sz w:val="20"/>
          <w:szCs w:val="22"/>
        </w:rPr>
        <w:t>11</w:t>
      </w:r>
      <w:r w:rsidR="00835FB1">
        <w:rPr>
          <w:rFonts w:ascii="Times New Roman" w:hAnsi="Times New Roman"/>
          <w:sz w:val="20"/>
          <w:szCs w:val="22"/>
        </w:rPr>
        <w:t xml:space="preserve"> listopada</w:t>
      </w:r>
    </w:p>
    <w:p w:rsidR="00B8589E" w:rsidRPr="00896DEA" w:rsidRDefault="00B8589E" w:rsidP="00B8589E">
      <w:pPr>
        <w:rPr>
          <w:rFonts w:ascii="Times New Roman" w:hAnsi="Times New Roman"/>
          <w:sz w:val="22"/>
          <w:szCs w:val="22"/>
        </w:rPr>
      </w:pPr>
    </w:p>
    <w:p w:rsidR="00B8589E" w:rsidRPr="00835FB1" w:rsidRDefault="00821C1A" w:rsidP="00B8589E">
      <w:pPr>
        <w:jc w:val="center"/>
        <w:rPr>
          <w:rFonts w:ascii="Times New Roman" w:hAnsi="Times New Roman"/>
          <w:b/>
          <w:sz w:val="40"/>
          <w:szCs w:val="22"/>
        </w:rPr>
      </w:pPr>
      <w:r>
        <w:rPr>
          <w:rFonts w:ascii="Times New Roman" w:hAnsi="Times New Roman"/>
          <w:b/>
          <w:sz w:val="40"/>
          <w:szCs w:val="22"/>
        </w:rPr>
        <w:t>ADAM I JEZUS</w:t>
      </w:r>
    </w:p>
    <w:p w:rsidR="00FF60C8" w:rsidRDefault="00FF60C8" w:rsidP="00FF60C8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i/>
          <w:iCs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Tekst biblijny: </w:t>
      </w:r>
      <w:proofErr w:type="spellStart"/>
      <w:r w:rsidRPr="00896DEA">
        <w:rPr>
          <w:rFonts w:ascii="Times New Roman" w:hAnsi="Times New Roman"/>
          <w:iCs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iCs/>
          <w:sz w:val="22"/>
          <w:szCs w:val="22"/>
        </w:rPr>
        <w:t xml:space="preserve"> 5,1-2.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Cel </w:t>
      </w:r>
      <w:r>
        <w:rPr>
          <w:rFonts w:ascii="Times New Roman" w:hAnsi="Times New Roman"/>
          <w:b/>
          <w:bCs/>
          <w:sz w:val="22"/>
          <w:szCs w:val="22"/>
        </w:rPr>
        <w:t xml:space="preserve">lekcji: </w:t>
      </w:r>
    </w:p>
    <w:p w:rsidR="00821C1A" w:rsidRPr="00896DEA" w:rsidRDefault="00821C1A" w:rsidP="00821C1A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Poznanie: </w:t>
      </w:r>
      <w:r w:rsidRPr="00896DEA">
        <w:rPr>
          <w:rFonts w:ascii="Times New Roman" w:hAnsi="Times New Roman"/>
          <w:sz w:val="22"/>
          <w:szCs w:val="22"/>
        </w:rPr>
        <w:t>Zrozumienie dalszych teologicznych i duchowych implikacji usprawiedliwienia wyłącznie przez wiarę.</w:t>
      </w:r>
    </w:p>
    <w:p w:rsidR="00821C1A" w:rsidRPr="00896DEA" w:rsidRDefault="00821C1A" w:rsidP="00821C1A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Odczucie: </w:t>
      </w:r>
      <w:r w:rsidRPr="00896DEA">
        <w:rPr>
          <w:rFonts w:ascii="Times New Roman" w:hAnsi="Times New Roman"/>
          <w:sz w:val="22"/>
          <w:szCs w:val="22"/>
        </w:rPr>
        <w:t>Zwiększenie poczucia radości i wdzięczności za błogosławieństwa zbawienia.</w:t>
      </w:r>
    </w:p>
    <w:p w:rsidR="00821C1A" w:rsidRPr="00896DEA" w:rsidRDefault="00821C1A" w:rsidP="00821C1A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Działanie: </w:t>
      </w:r>
      <w:r w:rsidRPr="00896DEA">
        <w:rPr>
          <w:rFonts w:ascii="Times New Roman" w:hAnsi="Times New Roman"/>
          <w:sz w:val="22"/>
          <w:szCs w:val="22"/>
        </w:rPr>
        <w:t>Jasne przemyślenie upadku Adama i zbawczych przywilejów wynikających z wiary w Chrystusa.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21C1A" w:rsidRDefault="00821C1A" w:rsidP="00821C1A">
      <w:pPr>
        <w:rPr>
          <w:rFonts w:ascii="Times New Roman" w:hAnsi="Times New Roman"/>
          <w:sz w:val="24"/>
          <w:szCs w:val="22"/>
        </w:rPr>
      </w:pPr>
      <w:r w:rsidRPr="00821C1A">
        <w:rPr>
          <w:rFonts w:ascii="Times New Roman" w:hAnsi="Times New Roman"/>
          <w:b/>
          <w:bCs/>
          <w:sz w:val="24"/>
          <w:szCs w:val="22"/>
        </w:rPr>
        <w:t>Plan nauczania</w:t>
      </w:r>
    </w:p>
    <w:p w:rsidR="00821C1A" w:rsidRPr="00896DEA" w:rsidRDefault="00821C1A" w:rsidP="00821C1A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I. Poznanie: Co doprowadziło do grzechu i cierpienia, i dlaczego konieczne było odkupienie zgubionej ludzkości przez Boga?</w:t>
      </w:r>
    </w:p>
    <w:p w:rsidR="00821C1A" w:rsidRPr="00896DEA" w:rsidRDefault="00821C1A" w:rsidP="00821C1A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A. W jaki sposób szatan i Adam przyczynili się do upadku ludzkości w grzech, który pociągnął za sobą cierpienie i śmierć?</w:t>
      </w:r>
    </w:p>
    <w:p w:rsidR="00821C1A" w:rsidRPr="00896DEA" w:rsidRDefault="00821C1A" w:rsidP="00821C1A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B. Jak to możliwe, że Chrystus przez swoje życie, śmierć i zmartwychwstanie dał grzesznikom nowy status wobec Boga?</w:t>
      </w:r>
    </w:p>
    <w:p w:rsidR="00821C1A" w:rsidRPr="00896DEA" w:rsidRDefault="00821C1A" w:rsidP="00821C1A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C. W jaki sposób przeciwieństwa między Adamem a Chrystusem pomagają wyjaśnić plan zbawienia?</w:t>
      </w:r>
    </w:p>
    <w:p w:rsidR="00821C1A" w:rsidRPr="00896DEA" w:rsidRDefault="00821C1A" w:rsidP="00821C1A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II. Odczucie: Agonia Chrystusa wystawionego na potworność grzechu i przerażające odłączenie od Ojca.</w:t>
      </w:r>
    </w:p>
    <w:p w:rsidR="00821C1A" w:rsidRPr="00896DEA" w:rsidRDefault="00821C1A" w:rsidP="00821C1A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A. W jaki sposób możemy zilustrować fakt, iż Chrystus został wystawiony na odrażającą ohydę grzechu?</w:t>
      </w:r>
    </w:p>
    <w:p w:rsidR="00821C1A" w:rsidRPr="00896DEA" w:rsidRDefault="00821C1A" w:rsidP="00821C1A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 xml:space="preserve">B. Jak możemy choćby w pewnym stopniu pojąć zupełne osamotnienie Chrystusa w </w:t>
      </w:r>
      <w:proofErr w:type="spellStart"/>
      <w:r w:rsidRPr="00896DEA">
        <w:rPr>
          <w:rFonts w:ascii="Times New Roman" w:hAnsi="Times New Roman"/>
          <w:sz w:val="22"/>
          <w:szCs w:val="22"/>
        </w:rPr>
        <w:t>Getsemane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i na krzyżu?</w:t>
      </w:r>
    </w:p>
    <w:p w:rsidR="00821C1A" w:rsidRPr="00896DEA" w:rsidRDefault="00821C1A" w:rsidP="00821C1A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III. Działanie: Zastanów się nad tym, jak Adam musiał się czuć, gdy zrozumiał głębię swego upadku.</w:t>
      </w:r>
    </w:p>
    <w:p w:rsidR="00821C1A" w:rsidRPr="00896DEA" w:rsidRDefault="00821C1A" w:rsidP="00821C1A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A. Przypomnij sobie, co czułeś, gdy sprawiłeś prawdziwy ból przyjacielowi.</w:t>
      </w:r>
    </w:p>
    <w:p w:rsidR="00821C1A" w:rsidRPr="00896DEA" w:rsidRDefault="00821C1A" w:rsidP="00821C1A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B. Poproś uczestników lekcji, by opowiedzieli o błogosławieństwie, jakim było przebaczenie i okazanie łaskawości po bolesnym zawodzie, jakiego doznali ze strony bliskiej osoby.</w:t>
      </w:r>
    </w:p>
    <w:p w:rsidR="00821C1A" w:rsidRPr="00896DEA" w:rsidRDefault="00821C1A" w:rsidP="00821C1A">
      <w:pPr>
        <w:ind w:left="567" w:firstLine="0"/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Podsumowanie: </w:t>
      </w:r>
      <w:r w:rsidRPr="00896DEA">
        <w:rPr>
          <w:rFonts w:ascii="Times New Roman" w:hAnsi="Times New Roman"/>
          <w:sz w:val="22"/>
          <w:szCs w:val="22"/>
        </w:rPr>
        <w:t>Rozważając tę lekcję powinniśmy z modlitwą zastanowić się, jak grzech, pojednanie w Chrystusie i usprawiedliwienie przez wiarę wiążą się ze sobą.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Default="00821C1A">
      <w:pPr>
        <w:spacing w:after="160" w:line="259" w:lineRule="auto"/>
        <w:ind w:firstLine="0"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br w:type="page"/>
      </w:r>
    </w:p>
    <w:p w:rsidR="00821C1A" w:rsidRDefault="00821C1A" w:rsidP="00821C1A">
      <w:pPr>
        <w:rPr>
          <w:rFonts w:ascii="Times New Roman" w:hAnsi="Times New Roman"/>
          <w:b/>
          <w:sz w:val="22"/>
          <w:szCs w:val="22"/>
        </w:rPr>
      </w:pPr>
    </w:p>
    <w:p w:rsidR="00821C1A" w:rsidRPr="00821C1A" w:rsidRDefault="00821C1A" w:rsidP="00821C1A">
      <w:pPr>
        <w:rPr>
          <w:rFonts w:ascii="Times New Roman" w:hAnsi="Times New Roman"/>
          <w:b/>
          <w:sz w:val="24"/>
          <w:szCs w:val="22"/>
        </w:rPr>
      </w:pPr>
      <w:r w:rsidRPr="00821C1A">
        <w:rPr>
          <w:rFonts w:ascii="Times New Roman" w:hAnsi="Times New Roman"/>
          <w:b/>
          <w:sz w:val="24"/>
          <w:szCs w:val="22"/>
        </w:rPr>
        <w:t>Cykl nauczania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Etap 1 - Motywowanie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i/>
          <w:iCs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Tekst biblijny: </w:t>
      </w:r>
      <w:proofErr w:type="spellStart"/>
      <w:r w:rsidRPr="00896DEA">
        <w:rPr>
          <w:rFonts w:ascii="Times New Roman" w:hAnsi="Times New Roman"/>
          <w:iCs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iCs/>
          <w:sz w:val="22"/>
          <w:szCs w:val="22"/>
        </w:rPr>
        <w:t xml:space="preserve"> 5,1-2</w:t>
      </w:r>
      <w:bookmarkStart w:id="0" w:name="_GoBack"/>
      <w:bookmarkEnd w:id="0"/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Kluczowa koncepcja duchowego rozwoju: </w:t>
      </w:r>
      <w:r w:rsidRPr="00896DEA">
        <w:rPr>
          <w:rFonts w:ascii="Times New Roman" w:hAnsi="Times New Roman"/>
          <w:sz w:val="22"/>
          <w:szCs w:val="22"/>
        </w:rPr>
        <w:t>Usprawiedliwienie przez wiarę w pojednawcze dzieło Chrystusa wskazuje na istotne implikacje związane z tym, jak wierzący powinien postrzegać swoją więź z Adamem i Chrystusem. W Adamie jest tylko wina, potępienie i śmierć, ale przez wiarę w Chrystusa dostępne jest uwolnienie od winy i mocy grzechu.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Tylko dla nauczyciela: </w:t>
      </w:r>
      <w:r w:rsidRPr="00896DEA">
        <w:rPr>
          <w:rFonts w:ascii="Times New Roman" w:hAnsi="Times New Roman"/>
          <w:sz w:val="22"/>
          <w:szCs w:val="22"/>
        </w:rPr>
        <w:t>Dochodzimy teraz do ważnego połączenia znaczenia biblijnej nauki o grzechu, usprawiedliwiającej wiary w Chrystusa oraz nowego życia wierzącego człowieka w Duchu Świętym. Zatem musimy pojąć wyraźnie, jak odniesiemy się do wspólnego dziedzictwa, jakie mamy w Adamie i możemy mieć przez wiarę w Chrystusie. Błogosławieństwa, które dzielimy z Chrystusem, znacząco przewyższają wszystko, na co wierzący mogą liczyć w ramach dziedzictwa Adama. W Chrystusie życie jest symbolicznie określone przez „znacznie większe” błogosławieństwa, takie jak pojednanie z Bogiem przez krew Chrystusa oraz zbawienie przez moc Jego życia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5,9-10).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Otwarcie dyskusji: </w:t>
      </w:r>
      <w:r w:rsidRPr="00896DEA">
        <w:rPr>
          <w:rFonts w:ascii="Times New Roman" w:hAnsi="Times New Roman"/>
          <w:sz w:val="22"/>
          <w:szCs w:val="22"/>
        </w:rPr>
        <w:t>Przejrzyj wraz z uczestnikami lekcji znaczenie naszego grzesznego dziedzictwa przekazanego przez Adama oraz przebaczenie przez wiarę w pojednawcze dzieło Chrystusa. Poproś uczniów, by rozważyli następujące pytanie: W jakim sensie zbawienie z mocy grzechu przez wiarę w Chrystusa jest fundamentem późniejszego postępowania według Ducha?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Do rozważenia: </w:t>
      </w:r>
      <w:r w:rsidRPr="00896DEA">
        <w:rPr>
          <w:rFonts w:ascii="Times New Roman" w:hAnsi="Times New Roman"/>
          <w:sz w:val="22"/>
          <w:szCs w:val="22"/>
        </w:rPr>
        <w:t xml:space="preserve">Zastanów się nad kluczowymi, wywierającymi silny wpływ fragmentami </w:t>
      </w:r>
      <w:r w:rsidRPr="00896DEA">
        <w:rPr>
          <w:rFonts w:ascii="Times New Roman" w:hAnsi="Times New Roman"/>
          <w:i/>
          <w:iCs/>
          <w:sz w:val="22"/>
          <w:szCs w:val="22"/>
        </w:rPr>
        <w:t>Biblii</w:t>
      </w:r>
      <w:r w:rsidRPr="00896DEA">
        <w:rPr>
          <w:rFonts w:ascii="Times New Roman" w:hAnsi="Times New Roman"/>
          <w:sz w:val="22"/>
          <w:szCs w:val="22"/>
        </w:rPr>
        <w:t xml:space="preserve">, które w twojej więzi z Bogiem najskuteczniej uświadomiły ci potrzebę Bożej akceptacji i mocy Ducha Świętego w twoim </w:t>
      </w:r>
      <w:proofErr w:type="spellStart"/>
      <w:r w:rsidRPr="00896DEA">
        <w:rPr>
          <w:rFonts w:ascii="Times New Roman" w:hAnsi="Times New Roman"/>
          <w:sz w:val="22"/>
          <w:szCs w:val="22"/>
        </w:rPr>
        <w:t>uczniostwie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. Przygotowując się do tej lekcji poświęć godzinę na zastanowienie nad wpływem, jaki grzech wywarł na Adama i drugiego Adama, zwłaszcza w </w:t>
      </w:r>
      <w:proofErr w:type="spellStart"/>
      <w:r w:rsidRPr="00896DEA">
        <w:rPr>
          <w:rFonts w:ascii="Times New Roman" w:hAnsi="Times New Roman"/>
          <w:sz w:val="22"/>
          <w:szCs w:val="22"/>
        </w:rPr>
        <w:t>Getsemane</w:t>
      </w:r>
      <w:proofErr w:type="spellEnd"/>
      <w:r w:rsidRPr="00896DEA">
        <w:rPr>
          <w:rFonts w:ascii="Times New Roman" w:hAnsi="Times New Roman"/>
          <w:sz w:val="22"/>
          <w:szCs w:val="22"/>
        </w:rPr>
        <w:t>, gdzie Jezus przeżył przerażający wstęp do straszliwego doświadczenia na Golgocie.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Etap 2 - Badanie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Tylko dla nauczyciela: </w:t>
      </w:r>
      <w:r w:rsidRPr="00896DEA">
        <w:rPr>
          <w:rFonts w:ascii="Times New Roman" w:hAnsi="Times New Roman"/>
          <w:sz w:val="22"/>
          <w:szCs w:val="22"/>
        </w:rPr>
        <w:t xml:space="preserve">Pamiętajmy, że (1) doktrynalna realność usprawiedliwienia przez wiarę została wyraźnie podkreślona w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3,21—4,25. Pamiętajmy także, że (2) Paweł w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 zaczyna prowadzić swoich adresatów do głębszego zastanowienia nad teologicznymi, duchowymi i etycznymi błogosławieństwami (czy implikacjami) usprawiedliwienia przez wiarę dla człowieka szczerze wierzącego w Chrystusa.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21C1A" w:rsidRDefault="00821C1A" w:rsidP="00821C1A">
      <w:pPr>
        <w:rPr>
          <w:rFonts w:ascii="Times New Roman" w:hAnsi="Times New Roman"/>
          <w:sz w:val="22"/>
          <w:szCs w:val="22"/>
        </w:rPr>
      </w:pPr>
      <w:r w:rsidRPr="00821C1A">
        <w:rPr>
          <w:rFonts w:ascii="Times New Roman" w:hAnsi="Times New Roman"/>
          <w:b/>
          <w:bCs/>
          <w:sz w:val="22"/>
          <w:szCs w:val="22"/>
        </w:rPr>
        <w:t>Komentarz biblijny</w:t>
      </w:r>
    </w:p>
    <w:p w:rsidR="00821C1A" w:rsidRPr="00821C1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I. Usprawiedliwienie przynosi świadomość wspaniałych błogosławieństw</w:t>
      </w:r>
      <w:r w:rsidRPr="00896DEA">
        <w:rPr>
          <w:rFonts w:ascii="Times New Roman" w:hAnsi="Times New Roman"/>
          <w:sz w:val="22"/>
          <w:szCs w:val="22"/>
        </w:rPr>
        <w:t xml:space="preserve"> (przeczytaj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5,1-5).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Bycie przyjętym przez Boga jest jak wejście do jadalni i uświadomienie sobie, że wspaniałe przyjęcie z duchowymi smakołykami, „stosowne dla króla”, zostało przygotowane, aby karmić dzieci Boże. Ponadto takie wspaniałe przyjęcie budzi głębokie poczucie wdzięczności za Boży dar „pokoju”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5,1), który daje nam nowy prawny status wobec Boga i umożliwia wierzącym „chlubienie się w nadziei chwały Bożej”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5,2). Więcej, takie chlubienie się w „nadziei”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5,4) prowadzi nawet do „chlubienia się z ucisków”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5,3). Dalej Paweł mówi, że „ucisk” przynosi niezwykły skutek, jako że rodzi „</w:t>
      </w:r>
      <w:r w:rsidRPr="00896DEA">
        <w:rPr>
          <w:rFonts w:ascii="Times New Roman" w:hAnsi="Times New Roman"/>
          <w:color w:val="000000"/>
          <w:sz w:val="22"/>
          <w:szCs w:val="22"/>
        </w:rPr>
        <w:t>cierpliwość, a cierpliwość doświadczenie, doświadczenie zaś nadzieję</w:t>
      </w:r>
      <w:r w:rsidRPr="00896DEA">
        <w:rPr>
          <w:rFonts w:ascii="Times New Roman" w:hAnsi="Times New Roman"/>
          <w:sz w:val="22"/>
          <w:szCs w:val="22"/>
        </w:rPr>
        <w:t>”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5,3-4). Wraz z wprowadzeniem czynnika „nadziei” Paweł w natchnieniu oświadcza, że ta „nadzieja” z pewnością „nie zawodzi”, ale prowadzi do doświadczenia „miłości Bożej”, która „</w:t>
      </w:r>
      <w:r w:rsidRPr="00896DEA">
        <w:rPr>
          <w:rFonts w:ascii="Times New Roman" w:hAnsi="Times New Roman"/>
          <w:color w:val="000000"/>
          <w:sz w:val="22"/>
          <w:szCs w:val="22"/>
        </w:rPr>
        <w:t>rozlana jest w sercach naszych przez Ducha Świętego, który nam jest dany</w:t>
      </w:r>
      <w:r w:rsidRPr="00896DEA">
        <w:rPr>
          <w:rFonts w:ascii="Times New Roman" w:hAnsi="Times New Roman"/>
          <w:sz w:val="22"/>
          <w:szCs w:val="22"/>
        </w:rPr>
        <w:t>”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5,5).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lastRenderedPageBreak/>
        <w:t xml:space="preserve">Do rozważenia: </w:t>
      </w:r>
      <w:r w:rsidRPr="00896DEA">
        <w:rPr>
          <w:rFonts w:ascii="Times New Roman" w:hAnsi="Times New Roman"/>
          <w:sz w:val="22"/>
          <w:szCs w:val="22"/>
        </w:rPr>
        <w:t>Wymienione błogosławieństwa są trudne do pojęcia. Ale w jakim sensie ostatnie z nich - dar Ducha Świętego - jest błogosławieństwem umożliwiającym wierzącemu zrozumienie wszystkich innych błogosławieństw?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II. Źródło wszelkich naszych nadziei</w:t>
      </w:r>
      <w:r w:rsidRPr="00896DEA">
        <w:rPr>
          <w:rFonts w:ascii="Times New Roman" w:hAnsi="Times New Roman"/>
          <w:sz w:val="22"/>
          <w:szCs w:val="22"/>
        </w:rPr>
        <w:t xml:space="preserve"> (przeczytaj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5,6-11).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 xml:space="preserve">Natchniony przez Ducha Świętego fragment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5,6-11 obejmuje pojednawcze dokonania Boga przez usprawiedliwiające życie i śmierć Chrystusa. Wskazuje też sposób, w jaki wierzący prowadzeni przez Ducha Świętego mogą „otrzymać” efekty tych wspaniałych dokonań w postaci „pojednania”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5,11). Tak oto Duch Święty wskazuje na zstępczą śmierć Chrystusa jako źródło wszelkich chrześcijańskich nadziei.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21C1A" w:rsidRDefault="00821C1A" w:rsidP="00821C1A">
      <w:pPr>
        <w:rPr>
          <w:rFonts w:ascii="Times New Roman" w:hAnsi="Times New Roman"/>
          <w:sz w:val="22"/>
          <w:szCs w:val="22"/>
        </w:rPr>
      </w:pPr>
      <w:r w:rsidRPr="00821C1A">
        <w:rPr>
          <w:rFonts w:ascii="Times New Roman" w:hAnsi="Times New Roman"/>
          <w:b/>
          <w:bCs/>
          <w:sz w:val="22"/>
          <w:szCs w:val="22"/>
        </w:rPr>
        <w:t>Pytania do dyskusji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1. Przypuszczalnie najgłębsze znaczenie w tym fragmencie mają następujące słowa: „</w:t>
      </w:r>
      <w:r w:rsidRPr="00896DEA">
        <w:rPr>
          <w:rFonts w:ascii="Times New Roman" w:hAnsi="Times New Roman"/>
          <w:color w:val="000000"/>
          <w:sz w:val="22"/>
          <w:szCs w:val="22"/>
        </w:rPr>
        <w:t>usprawiedliwieni krwią jego, będziemy przez niego zachowani od gniewu</w:t>
      </w:r>
      <w:r w:rsidRPr="00896DEA">
        <w:rPr>
          <w:rFonts w:ascii="Times New Roman" w:hAnsi="Times New Roman"/>
          <w:sz w:val="22"/>
          <w:szCs w:val="22"/>
        </w:rPr>
        <w:t>”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5,9). Jak powinniśmy rozumieć słowa „krew” i „gniew” w kontekście miłosiernego Bożego daru „pojednania” nas z Nim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5,10-11)? Ponadto w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5,10-11 jest mowa nie tylko o „śmierci” Chrystusa, ale także o „życiu jego”. W jakim sensie możemy powiedzieć, że życie Chrystusa służy pojednaniu wierzących?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2. Odpowiedz na poniższe pytania i uzasadnij swoje odpowiedzi. Czy „życie” Chrystusa także jest przypisane lub zaliczone wierzącym, podobnie jak Jego „śmierć”? A może „życie” Chrystusa jest nam dane bardziej jako przykład ofiarnej służby i moralna wskazówka?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III. Pierwszy Adam i drugi Adam </w:t>
      </w:r>
      <w:r w:rsidRPr="00896DEA">
        <w:rPr>
          <w:rFonts w:ascii="Times New Roman" w:hAnsi="Times New Roman"/>
          <w:sz w:val="22"/>
          <w:szCs w:val="22"/>
        </w:rPr>
        <w:t xml:space="preserve">(przeczytaj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5,12-14).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 xml:space="preserve">Fakty historyczne są następujące: W Adamie cała ludzkość została pogrążona w grzechu i winie. Tak więc Adam stał się źródłem grzechu, zaś Chrystus (drugi Adam) Źródłem wyzwolenia z grzechu - zarówno jego winy jak i mocy. Oczywiście nie sposób w pełni wyjaśnić grzech („tajemną moc nieprawości” [2 </w:t>
      </w:r>
      <w:proofErr w:type="spellStart"/>
      <w:r w:rsidRPr="00896DEA">
        <w:rPr>
          <w:rFonts w:ascii="Times New Roman" w:hAnsi="Times New Roman"/>
          <w:sz w:val="22"/>
          <w:szCs w:val="22"/>
        </w:rPr>
        <w:t>Tes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2,7]), ale Paweł oświadcza, że w Chrystusie jest nadzieja na zwycięstwo nad grzechem.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Do rozważenia: </w:t>
      </w:r>
      <w:r w:rsidRPr="00896DEA">
        <w:rPr>
          <w:rFonts w:ascii="Times New Roman" w:hAnsi="Times New Roman"/>
          <w:sz w:val="22"/>
          <w:szCs w:val="22"/>
        </w:rPr>
        <w:t>Nie jesteśmy w stanie w pełni wyjaśnić genezy grzechu i naszego dziedzictwa pochodzącego od Adama. Ale Bóg zapewnił w Chrystusie wieczne zbawienie dla wszystkich. Jak świadczy to o Bożej sprawiedliwości w kontekście dopuszczenia przez Boga do tego, by grzech pojawił się we wszechświecie?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IV. Przekonanie o grzechu i wyzwolenie z niego</w:t>
      </w:r>
      <w:r w:rsidRPr="00896DEA">
        <w:rPr>
          <w:rFonts w:ascii="Times New Roman" w:hAnsi="Times New Roman"/>
          <w:sz w:val="22"/>
          <w:szCs w:val="22"/>
        </w:rPr>
        <w:t xml:space="preserve"> (przeczytaj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5,15-21).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Dwie inne kwestie wymagają wyjaśnienia: (1) Jaki wpływ wywiera prawo przekonując grzeszników o grzechu i (2) jak „obfite” jest Boże wyzwolenie z grzechu? Głównym celem prawa, choć jedynie domyślnie znanym przed Synajem, jest przekonywanie zarówno o grzechu, jak i potrzebie zbawienia grzesznika. Ale wraz z ogłoszeniem prawa na Synaju ludzie odkryli, że znajdują się w wyraźnie złym stanie moralnym, to znaczy „rozmnożył się” grzech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5,20). Jednak na szczęście to „rozmnożenie się” grzechu wskazało na obfitość „łaski” ku zbawieniu z grzechu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5,20-21).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Do rozważenia: </w:t>
      </w:r>
      <w:r w:rsidRPr="00896DEA">
        <w:rPr>
          <w:rFonts w:ascii="Times New Roman" w:hAnsi="Times New Roman"/>
          <w:sz w:val="22"/>
          <w:szCs w:val="22"/>
        </w:rPr>
        <w:t>To po prostu zdumiewające, że łaska Boża jest znacznie obfitsza niż egoizm i grzech (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5,17). Obfitość optymizmu w „obfitej” łasce Chrystusa ma ostatnie słowo w każdej kwestii dotyczącej sprawiedliwości i dobroci Boga w postępowaniu wobec poważnych wyzwań związanych z grzechem. Jedynie w tym świetle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5,15-19 nabiera sensu w kontekście odkupienia. Zatem jaka powinna być właściwa odpowiedź człowieka na obietnicę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5,21, gdzie czytamy: „</w:t>
      </w:r>
      <w:r w:rsidRPr="00896DEA">
        <w:rPr>
          <w:rFonts w:ascii="Times New Roman" w:hAnsi="Times New Roman"/>
          <w:color w:val="000000"/>
          <w:sz w:val="22"/>
          <w:szCs w:val="22"/>
        </w:rPr>
        <w:t>żeby jak grzech panował przez śmierć, tak i łaska panowała przez usprawiedliwienie ku żywotowi wiecznemu przez Jezusa Chrystusa, Pana naszego</w:t>
      </w:r>
      <w:r w:rsidRPr="00896DEA">
        <w:rPr>
          <w:rFonts w:ascii="Times New Roman" w:hAnsi="Times New Roman"/>
          <w:sz w:val="22"/>
          <w:szCs w:val="22"/>
        </w:rPr>
        <w:t>”?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Etap 3 - Zastosowanie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Tylko dla nauczyciela: </w:t>
      </w:r>
      <w:r w:rsidRPr="00896DEA">
        <w:rPr>
          <w:rFonts w:ascii="Times New Roman" w:hAnsi="Times New Roman"/>
          <w:sz w:val="22"/>
          <w:szCs w:val="22"/>
        </w:rPr>
        <w:t xml:space="preserve">Należy zwrócić uwagę na fakt, iż słowo „dar” występuje pięciokrotnie w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5,15-17. Zatem usprawiedliwienie nie jest „zasłużone”, ale oparte wyłącznie na łaskawym darze </w:t>
      </w:r>
      <w:r w:rsidRPr="00896DEA">
        <w:rPr>
          <w:rFonts w:ascii="Times New Roman" w:hAnsi="Times New Roman"/>
          <w:sz w:val="22"/>
          <w:szCs w:val="22"/>
        </w:rPr>
        <w:lastRenderedPageBreak/>
        <w:t xml:space="preserve">miłości Bożej. „Dar” to słowo, które Paweł permanentnie wiąże z usprawiedliwieniem. Następnie w </w:t>
      </w:r>
      <w:proofErr w:type="spellStart"/>
      <w:r w:rsidRPr="00896DEA">
        <w:rPr>
          <w:rFonts w:ascii="Times New Roman" w:hAnsi="Times New Roman"/>
          <w:sz w:val="22"/>
          <w:szCs w:val="22"/>
        </w:rPr>
        <w:t>Rz</w:t>
      </w:r>
      <w:proofErr w:type="spellEnd"/>
      <w:r w:rsidRPr="00896DEA">
        <w:rPr>
          <w:rFonts w:ascii="Times New Roman" w:hAnsi="Times New Roman"/>
          <w:sz w:val="22"/>
          <w:szCs w:val="22"/>
        </w:rPr>
        <w:t xml:space="preserve"> 6 i dalej przechodzi do spraw związanych z nowym życiem w Duchu.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Pytania do zastosowania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1. Jak ten przejmujący opis ludzkiego nieszczęścia w naszym dziedzictwie śmierci „w Adamie” oraz życia „w Chrystusie” pozwala wierzącym odeprzeć najsilniejsze i najbardziej natarczywe pokusy?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2. Kiedy dochodzimy do ostatecznej kwestii znaczenia życia, czy może być ważniejsze pytanie lub bardziej zasadnicza kwestia filozoficzna niż to: Co jest prawdziwym celem naszego życia? Czy żyjemy w Adamie (życiem grzechu, to znaczy bez wiary w Chrystusa), czy raczej żyjemy w Chrystusie (przez wiarę w Niego)? Innymi słowy: Czy jesteśmy w „Duchu”, czy w „ciele”? Uzasadnij swoją odpowiedź.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>Etap 4 - Tworzenie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b/>
          <w:bCs/>
          <w:sz w:val="22"/>
          <w:szCs w:val="22"/>
        </w:rPr>
        <w:t xml:space="preserve">Tylko dla nauczyciela: </w:t>
      </w:r>
      <w:r w:rsidRPr="00896DEA">
        <w:rPr>
          <w:rFonts w:ascii="Times New Roman" w:hAnsi="Times New Roman"/>
          <w:sz w:val="22"/>
          <w:szCs w:val="22"/>
        </w:rPr>
        <w:t>Jak możemy praktycznie zastosować lekcję tego tygodni z jej przejmującą wizją śmierci w Adamie i życia w Chrystusie? Poproś uczestników lekcji, by - jeśli chcą - opowiedzieli o przełomowych momentach swojego życia, kiedy w oczywisty sposób byli „w Adamie”, oraz o tych, kiedy prawdziwie byli „w Chrystusie”. Poproś ich, by nie wdawali się w krępujące szczegóły, ale skupili się na zagadnieniach dotyczących ich więzi z Bogiem oraz tego, jak wyzwolenie w Chrystusie i Duchu Świętym stało się dla nich żywą rzeczywistością.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821C1A" w:rsidRPr="00821C1A" w:rsidRDefault="00821C1A" w:rsidP="00821C1A">
      <w:pPr>
        <w:rPr>
          <w:rFonts w:ascii="Times New Roman" w:hAnsi="Times New Roman"/>
          <w:sz w:val="22"/>
          <w:szCs w:val="22"/>
        </w:rPr>
      </w:pPr>
      <w:r w:rsidRPr="00821C1A">
        <w:rPr>
          <w:rFonts w:ascii="Times New Roman" w:hAnsi="Times New Roman"/>
          <w:b/>
          <w:bCs/>
          <w:sz w:val="22"/>
          <w:szCs w:val="22"/>
        </w:rPr>
        <w:t>Zadania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1. Poproś uczestników lekcji, by napisali krótką duchową autobiografię podkreślając punkty zwrotne w ich wzrastającej świadomości potrzeby zbawienia. Niech opiszą zwięźle, jak znaleźli się w Chrystusie i poznali wolę Bożą wobec nich.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  <w:r w:rsidRPr="00896DEA">
        <w:rPr>
          <w:rFonts w:ascii="Times New Roman" w:hAnsi="Times New Roman"/>
          <w:sz w:val="22"/>
          <w:szCs w:val="22"/>
        </w:rPr>
        <w:t>2. Poświęćcie nieco czasu na zastanowienie nad tymi osobami, które najbardziej zdecydowanie i praktycznie wywierały wpływ na innych przez swoją więź z Chrystusem. Poproś by ochotnicy opowiedzieli o znanych im wierzących, którzy wywarli na nich największy wpływ i pomogli im odkryć dane im dary duchowe.</w:t>
      </w:r>
    </w:p>
    <w:p w:rsidR="00821C1A" w:rsidRPr="00896DEA" w:rsidRDefault="00821C1A" w:rsidP="00821C1A">
      <w:pPr>
        <w:rPr>
          <w:rFonts w:ascii="Times New Roman" w:hAnsi="Times New Roman"/>
          <w:sz w:val="22"/>
          <w:szCs w:val="22"/>
        </w:rPr>
      </w:pPr>
    </w:p>
    <w:p w:rsidR="00B8589E" w:rsidRPr="00896DEA" w:rsidRDefault="00B8589E" w:rsidP="00821C1A">
      <w:pPr>
        <w:rPr>
          <w:rFonts w:ascii="Times New Roman" w:hAnsi="Times New Roman"/>
          <w:sz w:val="22"/>
          <w:szCs w:val="22"/>
        </w:rPr>
      </w:pPr>
    </w:p>
    <w:sectPr w:rsidR="00B8589E" w:rsidRPr="00896DE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B37" w:rsidRDefault="00DE0B37" w:rsidP="00B8589E">
      <w:r>
        <w:separator/>
      </w:r>
    </w:p>
  </w:endnote>
  <w:endnote w:type="continuationSeparator" w:id="0">
    <w:p w:rsidR="00DE0B37" w:rsidRDefault="00DE0B37" w:rsidP="00B85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16"/>
        <w:szCs w:val="16"/>
      </w:rPr>
      <w:id w:val="1853526418"/>
      <w:docPartObj>
        <w:docPartGallery w:val="Page Numbers (Bottom of Page)"/>
        <w:docPartUnique/>
      </w:docPartObj>
    </w:sdtPr>
    <w:sdtEndPr/>
    <w:sdtContent>
      <w:p w:rsidR="00B8589E" w:rsidRPr="00B8589E" w:rsidRDefault="00B8589E">
        <w:pPr>
          <w:pStyle w:val="Stopka"/>
          <w:jc w:val="right"/>
          <w:rPr>
            <w:rFonts w:ascii="Times New Roman" w:hAnsi="Times New Roman"/>
            <w:sz w:val="16"/>
            <w:szCs w:val="16"/>
          </w:rPr>
        </w:pPr>
        <w:r w:rsidRPr="00B8589E">
          <w:rPr>
            <w:rFonts w:ascii="Times New Roman" w:hAnsi="Times New Roman"/>
            <w:sz w:val="16"/>
            <w:szCs w:val="16"/>
          </w:rPr>
          <w:fldChar w:fldCharType="begin"/>
        </w:r>
        <w:r w:rsidRPr="00B8589E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B8589E">
          <w:rPr>
            <w:rFonts w:ascii="Times New Roman" w:hAnsi="Times New Roman"/>
            <w:sz w:val="16"/>
            <w:szCs w:val="16"/>
          </w:rPr>
          <w:fldChar w:fldCharType="separate"/>
        </w:r>
        <w:r w:rsidR="00821C1A">
          <w:rPr>
            <w:rFonts w:ascii="Times New Roman" w:hAnsi="Times New Roman"/>
            <w:noProof/>
            <w:sz w:val="16"/>
            <w:szCs w:val="16"/>
          </w:rPr>
          <w:t>4</w:t>
        </w:r>
        <w:r w:rsidRPr="00B8589E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:rsidR="00B8589E" w:rsidRDefault="00B858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B37" w:rsidRDefault="00DE0B37" w:rsidP="00B8589E">
      <w:r>
        <w:separator/>
      </w:r>
    </w:p>
  </w:footnote>
  <w:footnote w:type="continuationSeparator" w:id="0">
    <w:p w:rsidR="00DE0B37" w:rsidRDefault="00DE0B37" w:rsidP="00B85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89E" w:rsidRDefault="00B8589E" w:rsidP="00B8589E">
    <w:pPr>
      <w:rPr>
        <w:rFonts w:ascii="Times New Roman" w:eastAsia="MS PMincho" w:hAnsi="Times New Roman"/>
        <w:sz w:val="20"/>
        <w:szCs w:val="22"/>
      </w:rPr>
    </w:pPr>
    <w:r w:rsidRPr="00B8589E">
      <w:rPr>
        <w:rFonts w:ascii="Times New Roman" w:eastAsia="MS PMincho" w:hAnsi="Times New Roman"/>
        <w:sz w:val="20"/>
        <w:szCs w:val="22"/>
      </w:rPr>
      <w:t>Lekcje Biblijne 4/2017,</w:t>
    </w:r>
    <w:r>
      <w:rPr>
        <w:rFonts w:ascii="Times New Roman" w:eastAsia="MS PMincho" w:hAnsi="Times New Roman"/>
        <w:sz w:val="20"/>
        <w:szCs w:val="22"/>
      </w:rPr>
      <w:t xml:space="preserve"> „</w:t>
    </w:r>
    <w:r w:rsidRPr="00B8589E">
      <w:rPr>
        <w:rFonts w:ascii="Times New Roman" w:eastAsia="MS PMincho" w:hAnsi="Times New Roman"/>
        <w:sz w:val="20"/>
        <w:szCs w:val="22"/>
      </w:rPr>
      <w:t>List do Rzymian- Zbawienie wyłącznie przez wiarę</w:t>
    </w:r>
    <w:r>
      <w:rPr>
        <w:rFonts w:ascii="Times New Roman" w:eastAsia="MS PMincho" w:hAnsi="Times New Roman"/>
        <w:sz w:val="20"/>
        <w:szCs w:val="22"/>
      </w:rPr>
      <w:t>”</w:t>
    </w:r>
  </w:p>
  <w:p w:rsidR="00B8589E" w:rsidRPr="00B8589E" w:rsidRDefault="00B8589E" w:rsidP="00B8589E">
    <w:pPr>
      <w:rPr>
        <w:rFonts w:ascii="Times New Roman" w:hAnsi="Times New Roman"/>
        <w:sz w:val="20"/>
        <w:szCs w:val="22"/>
      </w:rPr>
    </w:pPr>
    <w:r w:rsidRPr="00B8589E">
      <w:rPr>
        <w:rFonts w:ascii="Times New Roman" w:hAnsi="Times New Roman"/>
        <w:sz w:val="20"/>
        <w:szCs w:val="22"/>
      </w:rPr>
      <w:t>Przewodnik dla nauczycieli</w:t>
    </w:r>
    <w:r>
      <w:rPr>
        <w:rFonts w:ascii="Times New Roman" w:hAnsi="Times New Roman"/>
        <w:sz w:val="20"/>
        <w:szCs w:val="22"/>
      </w:rPr>
      <w:t xml:space="preserve">, Lekcja </w:t>
    </w:r>
    <w:r w:rsidR="00821C1A">
      <w:rPr>
        <w:rFonts w:ascii="Times New Roman" w:hAnsi="Times New Roman"/>
        <w:sz w:val="20"/>
        <w:szCs w:val="22"/>
      </w:rPr>
      <w:t>6</w:t>
    </w:r>
    <w:r>
      <w:rPr>
        <w:rFonts w:ascii="Times New Roman" w:hAnsi="Times New Roman"/>
        <w:sz w:val="20"/>
        <w:szCs w:val="22"/>
      </w:rPr>
      <w:t>, „</w:t>
    </w:r>
    <w:r w:rsidR="00821C1A">
      <w:rPr>
        <w:rFonts w:ascii="Times New Roman" w:hAnsi="Times New Roman"/>
        <w:sz w:val="20"/>
        <w:szCs w:val="22"/>
      </w:rPr>
      <w:t>Adam i Jezus</w:t>
    </w:r>
    <w:r>
      <w:rPr>
        <w:rFonts w:ascii="Times New Roman" w:hAnsi="Times New Roman"/>
        <w:sz w:val="20"/>
        <w:szCs w:val="22"/>
      </w:rPr>
      <w:t>”</w:t>
    </w:r>
  </w:p>
  <w:p w:rsidR="00B8589E" w:rsidRDefault="00B858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0AC"/>
    <w:rsid w:val="0002326A"/>
    <w:rsid w:val="000740AC"/>
    <w:rsid w:val="000E6CE7"/>
    <w:rsid w:val="00123950"/>
    <w:rsid w:val="00161262"/>
    <w:rsid w:val="00175FB3"/>
    <w:rsid w:val="003924C1"/>
    <w:rsid w:val="00640D7C"/>
    <w:rsid w:val="00821C1A"/>
    <w:rsid w:val="008354A7"/>
    <w:rsid w:val="00835FB1"/>
    <w:rsid w:val="0087713C"/>
    <w:rsid w:val="008845AB"/>
    <w:rsid w:val="00907AA2"/>
    <w:rsid w:val="00930BB2"/>
    <w:rsid w:val="00A24236"/>
    <w:rsid w:val="00B8589E"/>
    <w:rsid w:val="00BC5983"/>
    <w:rsid w:val="00BF0426"/>
    <w:rsid w:val="00D137FF"/>
    <w:rsid w:val="00D605B3"/>
    <w:rsid w:val="00D9317F"/>
    <w:rsid w:val="00DE0B37"/>
    <w:rsid w:val="00E47FCD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70837-9DAC-4E0E-86A3-735DE172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589E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58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589E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58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589E"/>
    <w:rPr>
      <w:rFonts w:ascii="Tahoma" w:eastAsia="Times New Roman" w:hAnsi="Tahoma" w:cs="Times New Roman"/>
      <w:sz w:val="3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2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1496</Words>
  <Characters>8979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Krok</dc:creator>
  <cp:keywords/>
  <dc:description/>
  <cp:lastModifiedBy>Remigiusz Krok</cp:lastModifiedBy>
  <cp:revision>3</cp:revision>
  <cp:lastPrinted>2017-09-18T09:32:00Z</cp:lastPrinted>
  <dcterms:created xsi:type="dcterms:W3CDTF">2017-09-18T09:52:00Z</dcterms:created>
  <dcterms:modified xsi:type="dcterms:W3CDTF">2017-09-18T09:55:00Z</dcterms:modified>
</cp:coreProperties>
</file>