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00" w:rsidRDefault="00A820C9" w:rsidP="00A820C9">
      <w:pPr>
        <w:ind w:firstLine="0"/>
        <w:rPr>
          <w:rFonts w:ascii="Times New Roman" w:hAnsi="Times New Roman"/>
          <w:sz w:val="20"/>
        </w:rPr>
      </w:pPr>
      <w:r w:rsidRPr="000E3D8C">
        <w:rPr>
          <w:rFonts w:ascii="Times New Roman" w:hAnsi="Times New Roman"/>
          <w:sz w:val="20"/>
        </w:rPr>
        <w:t xml:space="preserve"> Lekcja </w:t>
      </w:r>
      <w:r w:rsidR="000803E0">
        <w:rPr>
          <w:rFonts w:ascii="Times New Roman" w:hAnsi="Times New Roman"/>
          <w:sz w:val="20"/>
        </w:rPr>
        <w:t>1</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344E00">
        <w:rPr>
          <w:rFonts w:ascii="Times New Roman" w:hAnsi="Times New Roman"/>
          <w:sz w:val="20"/>
        </w:rPr>
        <w:t xml:space="preserve">3 kwietnia </w:t>
      </w:r>
    </w:p>
    <w:p w:rsidR="00344E00" w:rsidRPr="00344E00" w:rsidRDefault="00344E00" w:rsidP="00344E00">
      <w:pPr>
        <w:ind w:firstLine="0"/>
        <w:jc w:val="center"/>
        <w:rPr>
          <w:rFonts w:ascii="Times New Roman" w:hAnsi="Times New Roman"/>
          <w:b/>
          <w:sz w:val="28"/>
        </w:rPr>
      </w:pPr>
    </w:p>
    <w:p w:rsidR="00D460C5" w:rsidRPr="00344E00" w:rsidRDefault="00344E00" w:rsidP="00344E00">
      <w:pPr>
        <w:ind w:firstLine="0"/>
        <w:jc w:val="center"/>
        <w:rPr>
          <w:rFonts w:ascii="Times New Roman" w:hAnsi="Times New Roman"/>
          <w:b/>
          <w:sz w:val="28"/>
        </w:rPr>
      </w:pPr>
      <w:r w:rsidRPr="00344E00">
        <w:rPr>
          <w:rFonts w:ascii="Times New Roman" w:hAnsi="Times New Roman"/>
          <w:b/>
          <w:sz w:val="28"/>
        </w:rPr>
        <w:t>CO SIĘ STAŁO?</w:t>
      </w:r>
    </w:p>
    <w:p w:rsidR="00A820C9" w:rsidRDefault="00F47047" w:rsidP="00A820C9">
      <w:pPr>
        <w:ind w:firstLine="0"/>
        <w:rPr>
          <w:rFonts w:ascii="Times New Roman" w:hAnsi="Times New Roman"/>
          <w:sz w:val="20"/>
        </w:rPr>
      </w:pPr>
      <w:r>
        <w:rPr>
          <w:rFonts w:ascii="Times New Roman" w:hAnsi="Times New Roman"/>
          <w:sz w:val="20"/>
        </w:rPr>
        <w:t xml:space="preserve"> </w:t>
      </w:r>
    </w:p>
    <w:p w:rsidR="00A22AA7" w:rsidRPr="00E86CB7" w:rsidRDefault="00A22AA7" w:rsidP="00E86CB7">
      <w:pPr>
        <w:jc w:val="center"/>
        <w:rPr>
          <w:rFonts w:ascii="Times New Roman" w:hAnsi="Times New Roman"/>
          <w:b/>
          <w:sz w:val="28"/>
          <w:lang w:val="en-US"/>
        </w:rPr>
      </w:pPr>
    </w:p>
    <w:p w:rsidR="00344E00" w:rsidRPr="00A04EAF" w:rsidRDefault="00344E00" w:rsidP="00344E00">
      <w:pPr>
        <w:rPr>
          <w:rFonts w:ascii="Times New Roman" w:hAnsi="Times New Roman"/>
          <w:i/>
          <w:iCs/>
          <w:sz w:val="20"/>
        </w:rPr>
      </w:pPr>
      <w:r w:rsidRPr="00A04EAF">
        <w:rPr>
          <w:rFonts w:ascii="Times New Roman" w:hAnsi="Times New Roman"/>
          <w:b/>
          <w:bCs/>
          <w:sz w:val="20"/>
        </w:rPr>
        <w:t>Przedmiot studium:</w:t>
      </w:r>
      <w:r w:rsidRPr="00A04EAF">
        <w:rPr>
          <w:rFonts w:ascii="Times New Roman" w:hAnsi="Times New Roman"/>
          <w:sz w:val="20"/>
        </w:rPr>
        <w:t xml:space="preserve"> </w:t>
      </w:r>
      <w:r w:rsidRPr="00A04EAF">
        <w:rPr>
          <w:rFonts w:ascii="Times New Roman" w:hAnsi="Times New Roman"/>
          <w:iCs/>
          <w:sz w:val="20"/>
        </w:rPr>
        <w:t>Rdz 1,26-27.</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b/>
          <w:sz w:val="20"/>
        </w:rPr>
        <w:t>Część I: Przegląd</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sz w:val="20"/>
        </w:rPr>
        <w:t xml:space="preserve">Bóg stworzył ludzkość na swój obraz, aby ustanowić głęboką więź między Nim a nami. Adam </w:t>
      </w:r>
      <w:r>
        <w:rPr>
          <w:rFonts w:ascii="Times New Roman" w:hAnsi="Times New Roman"/>
          <w:sz w:val="20"/>
        </w:rPr>
        <w:t>i</w:t>
      </w:r>
      <w:r w:rsidRPr="00A04EAF">
        <w:rPr>
          <w:rFonts w:ascii="Times New Roman" w:hAnsi="Times New Roman"/>
          <w:sz w:val="20"/>
        </w:rPr>
        <w:t xml:space="preserve"> Ewa zlekceważyli wolę Boga i zerwali tę więź. Ale Bóg miał plan ratunkowy - odrodzenie zerwanej więzi przez Jezusa, Syna Bożego.</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b/>
          <w:sz w:val="20"/>
        </w:rPr>
        <w:t>Część II: Komentarz</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sz w:val="20"/>
        </w:rPr>
        <w:t xml:space="preserve">Niezdrowa ciekawość jest diabelską pułapką czyhającą na tych, którzy usiłują zgłębić to, czego Bóg nie objawił </w:t>
      </w:r>
      <w:r w:rsidRPr="00A04EAF">
        <w:rPr>
          <w:rFonts w:ascii="Times New Roman" w:hAnsi="Times New Roman"/>
          <w:iCs/>
          <w:sz w:val="20"/>
        </w:rPr>
        <w:t>(zob. Pwt 29,29)</w:t>
      </w:r>
      <w:r w:rsidRPr="00A04EAF">
        <w:rPr>
          <w:rFonts w:ascii="Times New Roman" w:hAnsi="Times New Roman"/>
          <w:sz w:val="20"/>
        </w:rPr>
        <w:t xml:space="preserve">. „Kiedy Bóg powiedział do swego Syna: «Uczyńmy człowieka na obraz nasz», szatan zapałał zawiścią wobec Jezusa. Życzył sobie, by poproszono go o radę w kwestii stworzenia człowieka, a ponieważ tak się nie stało, zapłonął zazdrością, zawiścią i nienawiścią” (Ellen G. White, </w:t>
      </w:r>
      <w:r w:rsidRPr="00A04EAF">
        <w:rPr>
          <w:rFonts w:ascii="Times New Roman" w:hAnsi="Times New Roman"/>
          <w:i/>
          <w:iCs/>
          <w:sz w:val="20"/>
        </w:rPr>
        <w:t>Early Writings</w:t>
      </w:r>
      <w:r w:rsidRPr="00A04EAF">
        <w:rPr>
          <w:rFonts w:ascii="Times New Roman" w:hAnsi="Times New Roman"/>
          <w:iCs/>
          <w:sz w:val="20"/>
        </w:rPr>
        <w:t>, s. </w:t>
      </w:r>
      <w:r w:rsidRPr="00A04EAF">
        <w:rPr>
          <w:rFonts w:ascii="Times New Roman" w:hAnsi="Times New Roman"/>
          <w:sz w:val="20"/>
        </w:rPr>
        <w:t>145).</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sz w:val="20"/>
        </w:rPr>
        <w:t>Żółwie do samego spodu</w:t>
      </w:r>
    </w:p>
    <w:p w:rsidR="00344E00" w:rsidRPr="00A04EAF" w:rsidRDefault="00344E00" w:rsidP="00344E00">
      <w:pPr>
        <w:rPr>
          <w:rFonts w:ascii="Times New Roman" w:hAnsi="Times New Roman"/>
          <w:sz w:val="20"/>
        </w:rPr>
      </w:pPr>
      <w:r w:rsidRPr="00A04EAF">
        <w:rPr>
          <w:rFonts w:ascii="Times New Roman" w:hAnsi="Times New Roman"/>
          <w:sz w:val="20"/>
        </w:rPr>
        <w:t xml:space="preserve">W Rdz 1,1 szczególny hebrajski czasownik </w:t>
      </w:r>
      <w:r w:rsidRPr="00A04EAF">
        <w:rPr>
          <w:rFonts w:ascii="Times New Roman" w:hAnsi="Times New Roman"/>
          <w:i/>
          <w:sz w:val="20"/>
        </w:rPr>
        <w:t>bara</w:t>
      </w:r>
      <w:r w:rsidRPr="00A04EAF">
        <w:rPr>
          <w:rFonts w:ascii="Times New Roman" w:hAnsi="Times New Roman"/>
          <w:sz w:val="20"/>
        </w:rPr>
        <w:t xml:space="preserve"> („stwarzać”) wyraża zdolność Bóstwa do powoływania do istnienia Boską mocą tego, co wcześniej nie istniało. Niektórzy wierzą, że czasownik </w:t>
      </w:r>
      <w:r w:rsidRPr="00A04EAF">
        <w:rPr>
          <w:rFonts w:ascii="Times New Roman" w:hAnsi="Times New Roman"/>
          <w:i/>
          <w:sz w:val="20"/>
        </w:rPr>
        <w:t>bara</w:t>
      </w:r>
      <w:r w:rsidRPr="00A04EAF">
        <w:rPr>
          <w:rFonts w:ascii="Times New Roman" w:hAnsi="Times New Roman"/>
          <w:sz w:val="20"/>
        </w:rPr>
        <w:t xml:space="preserve"> wyraża uwolnienie Boskiej stwórczej energii, która stwarza coś z niczego. </w:t>
      </w:r>
      <w:r w:rsidRPr="00A04EAF">
        <w:rPr>
          <w:rFonts w:ascii="Times New Roman" w:hAnsi="Times New Roman"/>
          <w:i/>
          <w:sz w:val="20"/>
        </w:rPr>
        <w:t>Bara</w:t>
      </w:r>
      <w:r w:rsidRPr="00A04EAF">
        <w:rPr>
          <w:rFonts w:ascii="Times New Roman" w:hAnsi="Times New Roman"/>
          <w:sz w:val="20"/>
        </w:rPr>
        <w:t xml:space="preserve"> wyraża zatem „absolutne wygenerowanie, to znaczy (...) rozpoczęcie i wywiedzenie z niczego (</w:t>
      </w:r>
      <w:r w:rsidRPr="00A04EAF">
        <w:rPr>
          <w:rFonts w:ascii="Times New Roman" w:hAnsi="Times New Roman"/>
          <w:i/>
          <w:sz w:val="20"/>
        </w:rPr>
        <w:t>ex nihilo</w:t>
      </w:r>
      <w:r w:rsidRPr="00A04EAF">
        <w:rPr>
          <w:rFonts w:ascii="Times New Roman" w:hAnsi="Times New Roman"/>
          <w:sz w:val="20"/>
        </w:rPr>
        <w:t xml:space="preserve">), a nie jedynie przekształcenie istniejącej wcześniej materii czy prematerii” (Harold Kuhn, </w:t>
      </w:r>
      <w:r w:rsidRPr="00A04EAF">
        <w:rPr>
          <w:rFonts w:ascii="Times New Roman" w:hAnsi="Times New Roman"/>
          <w:i/>
          <w:iCs/>
          <w:sz w:val="20"/>
        </w:rPr>
        <w:t>„God Makes”</w:t>
      </w:r>
      <w:r w:rsidRPr="00A04EAF">
        <w:rPr>
          <w:rFonts w:ascii="Times New Roman" w:hAnsi="Times New Roman"/>
          <w:iCs/>
          <w:sz w:val="20"/>
        </w:rPr>
        <w:t xml:space="preserve">, w: </w:t>
      </w:r>
      <w:r w:rsidRPr="00A04EAF">
        <w:rPr>
          <w:rFonts w:ascii="Times New Roman" w:hAnsi="Times New Roman"/>
          <w:i/>
          <w:iCs/>
          <w:sz w:val="20"/>
        </w:rPr>
        <w:t>The Living God: Readings in Christian Theology</w:t>
      </w:r>
      <w:r w:rsidRPr="00A04EAF">
        <w:rPr>
          <w:rFonts w:ascii="Times New Roman" w:hAnsi="Times New Roman"/>
          <w:iCs/>
          <w:sz w:val="20"/>
        </w:rPr>
        <w:t>,</w:t>
      </w:r>
      <w:r w:rsidRPr="00A04EAF">
        <w:rPr>
          <w:rFonts w:ascii="Times New Roman" w:hAnsi="Times New Roman"/>
          <w:i/>
          <w:iCs/>
          <w:sz w:val="20"/>
        </w:rPr>
        <w:t xml:space="preserve"> </w:t>
      </w:r>
      <w:r w:rsidRPr="00A04EAF">
        <w:rPr>
          <w:rFonts w:ascii="Times New Roman" w:hAnsi="Times New Roman"/>
          <w:sz w:val="20"/>
        </w:rPr>
        <w:t>red.</w:t>
      </w:r>
      <w:r w:rsidRPr="00A04EAF">
        <w:rPr>
          <w:rFonts w:ascii="Times New Roman" w:hAnsi="Times New Roman"/>
          <w:i/>
          <w:iCs/>
          <w:sz w:val="20"/>
        </w:rPr>
        <w:t xml:space="preserve"> </w:t>
      </w:r>
      <w:r w:rsidRPr="00A04EAF">
        <w:rPr>
          <w:rFonts w:ascii="Times New Roman" w:hAnsi="Times New Roman"/>
          <w:sz w:val="20"/>
        </w:rPr>
        <w:t>Millard J. Erickson, Grand Rapids 1983, s. 481).</w:t>
      </w:r>
    </w:p>
    <w:p w:rsidR="00344E00" w:rsidRPr="00A04EAF" w:rsidRDefault="00344E00" w:rsidP="00344E00">
      <w:pPr>
        <w:rPr>
          <w:rFonts w:ascii="Times New Roman" w:hAnsi="Times New Roman"/>
          <w:sz w:val="20"/>
        </w:rPr>
      </w:pPr>
      <w:r w:rsidRPr="00A04EAF">
        <w:rPr>
          <w:rFonts w:ascii="Times New Roman" w:hAnsi="Times New Roman"/>
          <w:sz w:val="20"/>
        </w:rPr>
        <w:t>Stała wiara trwa trwa nawet w mroku Boskiej tajemnicy, jaśniejąc niczym latarnia morska smagana sztormem, mocna, opierająca się falom niewiary. Taka wiara przeniknie przez mgłę niebiblijnych systemów wierzeń sugerujących rozmaite genezy ludzkości.</w:t>
      </w:r>
    </w:p>
    <w:p w:rsidR="00344E00" w:rsidRPr="00A04EAF" w:rsidRDefault="00344E00" w:rsidP="00344E00">
      <w:pPr>
        <w:rPr>
          <w:rFonts w:ascii="Times New Roman" w:hAnsi="Times New Roman"/>
          <w:sz w:val="20"/>
        </w:rPr>
      </w:pPr>
      <w:r w:rsidRPr="00A04EAF">
        <w:rPr>
          <w:rFonts w:ascii="Times New Roman" w:hAnsi="Times New Roman"/>
          <w:sz w:val="20"/>
        </w:rPr>
        <w:t xml:space="preserve">„Spirytyzm uczy, że «człowiek jest istotą rozwijającą się»” (Ellen G. White, </w:t>
      </w:r>
      <w:r w:rsidRPr="00A04EAF">
        <w:rPr>
          <w:rFonts w:ascii="Times New Roman" w:hAnsi="Times New Roman"/>
          <w:i/>
          <w:iCs/>
          <w:sz w:val="20"/>
        </w:rPr>
        <w:t>Wielki bój</w:t>
      </w:r>
      <w:r w:rsidRPr="00A04EAF">
        <w:rPr>
          <w:rFonts w:ascii="Times New Roman" w:hAnsi="Times New Roman"/>
          <w:iCs/>
          <w:sz w:val="20"/>
        </w:rPr>
        <w:t>, wyd. 20, Warszawa 2019, s. </w:t>
      </w:r>
      <w:r w:rsidRPr="00A04EAF">
        <w:rPr>
          <w:rFonts w:ascii="Times New Roman" w:hAnsi="Times New Roman"/>
          <w:sz w:val="20"/>
        </w:rPr>
        <w:t>333). „Społeczny darwinizm (...) stanowi podłoże genetyki i biologii, pod pozorem nauki kategoryzując istoty ludzkie w sposób popierający rasową wyższość - ideał, który osiągnął apogeum w nazistowskich Niemczech” (</w:t>
      </w:r>
      <w:r w:rsidRPr="00A04EAF">
        <w:rPr>
          <w:rFonts w:ascii="Times New Roman" w:hAnsi="Times New Roman"/>
          <w:sz w:val="20"/>
          <w:lang w:val="en-GB"/>
        </w:rPr>
        <w:t xml:space="preserve">Charles E. Bradford, </w:t>
      </w:r>
      <w:r w:rsidRPr="00A04EAF">
        <w:rPr>
          <w:rFonts w:ascii="Times New Roman" w:hAnsi="Times New Roman"/>
          <w:i/>
          <w:iCs/>
          <w:sz w:val="20"/>
          <w:lang w:val="en-GB"/>
        </w:rPr>
        <w:t>Sabbath Roots</w:t>
      </w:r>
      <w:r w:rsidRPr="00A04EAF">
        <w:rPr>
          <w:rFonts w:ascii="Times New Roman" w:hAnsi="Times New Roman"/>
          <w:i/>
          <w:sz w:val="20"/>
          <w:lang w:val="en-GB"/>
        </w:rPr>
        <w:t>:</w:t>
      </w:r>
      <w:r w:rsidRPr="00A04EAF">
        <w:rPr>
          <w:rFonts w:ascii="Times New Roman" w:hAnsi="Times New Roman"/>
          <w:sz w:val="20"/>
          <w:lang w:val="en-GB"/>
        </w:rPr>
        <w:t xml:space="preserve"> </w:t>
      </w:r>
      <w:r w:rsidRPr="00A04EAF">
        <w:rPr>
          <w:rFonts w:ascii="Times New Roman" w:hAnsi="Times New Roman"/>
          <w:i/>
          <w:iCs/>
          <w:sz w:val="20"/>
          <w:lang w:val="en-GB"/>
        </w:rPr>
        <w:t>The African Connection</w:t>
      </w:r>
      <w:r w:rsidRPr="00A04EAF">
        <w:rPr>
          <w:rFonts w:ascii="Times New Roman" w:hAnsi="Times New Roman"/>
          <w:sz w:val="20"/>
          <w:lang w:val="en-GB"/>
        </w:rPr>
        <w:t>, Silver Spring 1999, s. 66-67</w:t>
      </w:r>
      <w:r w:rsidRPr="00A04EAF">
        <w:rPr>
          <w:rFonts w:ascii="Times New Roman" w:hAnsi="Times New Roman"/>
          <w:sz w:val="20"/>
        </w:rPr>
        <w:t>).</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sz w:val="20"/>
        </w:rPr>
        <w:t>Obraz Stwórcy</w:t>
      </w:r>
    </w:p>
    <w:p w:rsidR="00344E00" w:rsidRPr="00A04EAF" w:rsidRDefault="00344E00" w:rsidP="00344E00">
      <w:pPr>
        <w:rPr>
          <w:rFonts w:ascii="Times New Roman" w:hAnsi="Times New Roman"/>
          <w:sz w:val="20"/>
        </w:rPr>
      </w:pPr>
      <w:r w:rsidRPr="00A04EAF">
        <w:rPr>
          <w:rFonts w:ascii="Times New Roman" w:hAnsi="Times New Roman"/>
          <w:sz w:val="20"/>
        </w:rPr>
        <w:t>Pewne źródło sugeruje, że „</w:t>
      </w:r>
      <w:r w:rsidRPr="00A04EAF">
        <w:rPr>
          <w:rFonts w:ascii="Times New Roman" w:hAnsi="Times New Roman"/>
          <w:i/>
          <w:sz w:val="20"/>
        </w:rPr>
        <w:t>tselem</w:t>
      </w:r>
      <w:r w:rsidRPr="00A04EAF">
        <w:rPr>
          <w:rFonts w:ascii="Times New Roman" w:hAnsi="Times New Roman"/>
          <w:sz w:val="20"/>
        </w:rPr>
        <w:t xml:space="preserve"> (obraz) oznacza obrys cienia postaci, zaś </w:t>
      </w:r>
      <w:r w:rsidRPr="00A04EAF">
        <w:rPr>
          <w:rFonts w:ascii="Times New Roman" w:hAnsi="Times New Roman"/>
          <w:i/>
          <w:sz w:val="20"/>
        </w:rPr>
        <w:t>damuth</w:t>
      </w:r>
      <w:r w:rsidRPr="00A04EAF">
        <w:rPr>
          <w:rFonts w:ascii="Times New Roman" w:hAnsi="Times New Roman"/>
          <w:sz w:val="20"/>
        </w:rPr>
        <w:t xml:space="preserve"> (podobieństwo) nawiązuje do podobieństwa cienia do postaci” (</w:t>
      </w:r>
      <w:r w:rsidRPr="00A04EAF">
        <w:rPr>
          <w:rFonts w:ascii="Times New Roman" w:hAnsi="Times New Roman"/>
          <w:sz w:val="20"/>
          <w:lang w:val="en-GB"/>
        </w:rPr>
        <w:t xml:space="preserve">H.D.M. Spence i Joseph S. Excell, red., </w:t>
      </w:r>
      <w:r w:rsidRPr="00A04EAF">
        <w:rPr>
          <w:rFonts w:ascii="Times New Roman" w:hAnsi="Times New Roman"/>
          <w:i/>
          <w:iCs/>
          <w:sz w:val="20"/>
          <w:lang w:val="en-GB"/>
        </w:rPr>
        <w:t>The Pulpit Commentary</w:t>
      </w:r>
      <w:r w:rsidRPr="00A04EAF">
        <w:rPr>
          <w:rFonts w:ascii="Times New Roman" w:hAnsi="Times New Roman"/>
          <w:iCs/>
          <w:sz w:val="20"/>
          <w:lang w:val="en-GB"/>
        </w:rPr>
        <w:t xml:space="preserve">, </w:t>
      </w:r>
      <w:r w:rsidRPr="00A04EAF">
        <w:rPr>
          <w:rFonts w:ascii="Times New Roman" w:hAnsi="Times New Roman"/>
          <w:sz w:val="20"/>
          <w:lang w:val="en-GB"/>
        </w:rPr>
        <w:t>t. 1,</w:t>
      </w:r>
      <w:r w:rsidRPr="00A04EAF">
        <w:rPr>
          <w:rFonts w:ascii="Times New Roman" w:hAnsi="Times New Roman"/>
          <w:i/>
          <w:iCs/>
          <w:sz w:val="20"/>
          <w:lang w:val="en-GB"/>
        </w:rPr>
        <w:t xml:space="preserve"> Genesis-Exodus</w:t>
      </w:r>
      <w:r w:rsidRPr="00A04EAF">
        <w:rPr>
          <w:rFonts w:ascii="Times New Roman" w:hAnsi="Times New Roman"/>
          <w:sz w:val="20"/>
          <w:lang w:val="en-GB"/>
        </w:rPr>
        <w:t>, Peabody 1961, s. 30</w:t>
      </w:r>
      <w:r w:rsidRPr="00A04EAF">
        <w:rPr>
          <w:rFonts w:ascii="Times New Roman" w:hAnsi="Times New Roman"/>
          <w:sz w:val="20"/>
        </w:rPr>
        <w:t>).</w:t>
      </w:r>
    </w:p>
    <w:p w:rsidR="00344E00" w:rsidRPr="00A04EAF" w:rsidRDefault="00344E00" w:rsidP="00344E00">
      <w:pPr>
        <w:rPr>
          <w:rFonts w:ascii="Times New Roman" w:hAnsi="Times New Roman"/>
          <w:sz w:val="20"/>
        </w:rPr>
      </w:pPr>
      <w:r w:rsidRPr="00A04EAF">
        <w:rPr>
          <w:rFonts w:ascii="Times New Roman" w:hAnsi="Times New Roman"/>
          <w:sz w:val="20"/>
        </w:rPr>
        <w:t>„Podobnie jak Bóg</w:t>
      </w:r>
      <w:r>
        <w:rPr>
          <w:rFonts w:ascii="Times New Roman" w:hAnsi="Times New Roman"/>
          <w:sz w:val="20"/>
        </w:rPr>
        <w:t xml:space="preserve">, miał możliwość wolnego wyboru- </w:t>
      </w:r>
      <w:r w:rsidRPr="00A04EAF">
        <w:rPr>
          <w:rFonts w:ascii="Times New Roman" w:hAnsi="Times New Roman"/>
          <w:sz w:val="20"/>
        </w:rPr>
        <w:t xml:space="preserve"> wolność myśli </w:t>
      </w:r>
      <w:r w:rsidRPr="00A04EAF">
        <w:rPr>
          <w:rFonts w:ascii="Times New Roman" w:hAnsi="Times New Roman"/>
          <w:sz w:val="20"/>
        </w:rPr>
        <w:br/>
        <w:t>i działania według moralnych zasad. W ten sposób człowiek mógł miłować i być posłusznym lub być nieufnym i</w:t>
      </w:r>
      <w:r>
        <w:rPr>
          <w:rFonts w:ascii="Times New Roman" w:hAnsi="Times New Roman"/>
          <w:sz w:val="20"/>
        </w:rPr>
        <w:t> </w:t>
      </w:r>
      <w:r w:rsidRPr="00A04EAF">
        <w:rPr>
          <w:rFonts w:ascii="Times New Roman" w:hAnsi="Times New Roman"/>
          <w:sz w:val="20"/>
        </w:rPr>
        <w:t xml:space="preserve"> nieposłusznym” (</w:t>
      </w:r>
      <w:r w:rsidRPr="00A04EAF">
        <w:rPr>
          <w:rFonts w:ascii="Times New Roman" w:hAnsi="Times New Roman"/>
          <w:i/>
          <w:sz w:val="20"/>
        </w:rPr>
        <w:t>Wierzyć tak jak Jezus</w:t>
      </w:r>
      <w:r w:rsidRPr="00A04EAF">
        <w:rPr>
          <w:rFonts w:ascii="Times New Roman" w:hAnsi="Times New Roman"/>
          <w:sz w:val="20"/>
        </w:rPr>
        <w:t>, wyd. 2, Warszawa 2007, s. 96).</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sz w:val="20"/>
        </w:rPr>
        <w:t>Bóg i ludzkość razem</w:t>
      </w:r>
    </w:p>
    <w:p w:rsidR="00344E00" w:rsidRPr="00A04EAF" w:rsidRDefault="00344E00" w:rsidP="00344E00">
      <w:pPr>
        <w:rPr>
          <w:rFonts w:ascii="Times New Roman" w:hAnsi="Times New Roman"/>
          <w:sz w:val="20"/>
        </w:rPr>
      </w:pPr>
      <w:r w:rsidRPr="00A04EAF">
        <w:rPr>
          <w:rFonts w:ascii="Times New Roman" w:hAnsi="Times New Roman"/>
          <w:sz w:val="20"/>
        </w:rPr>
        <w:t>W biblijnym sensie, kiedy „Bóg błogosławi”, daje moc funkcji czy spełnieniu tego, co pobłogosławił. „Bóg stworzył człowieka dla swojej chwały, aby po przejściu próby</w:t>
      </w:r>
      <w:r w:rsidRPr="00A04EAF">
        <w:rPr>
          <w:rFonts w:ascii="Times New Roman" w:hAnsi="Times New Roman"/>
          <w:i/>
          <w:sz w:val="20"/>
        </w:rPr>
        <w:t xml:space="preserve"> ludzkość mogła stać się jedno z niebiańską rodziną</w:t>
      </w:r>
      <w:r w:rsidRPr="00A04EAF">
        <w:rPr>
          <w:rFonts w:ascii="Times New Roman" w:hAnsi="Times New Roman"/>
          <w:sz w:val="20"/>
        </w:rPr>
        <w:t>. Bożym celem było zaludnić niebo, jeśli ludzie okazaliby się posłuszni Jego każdemu słowu” (</w:t>
      </w:r>
      <w:r w:rsidRPr="00A04EAF">
        <w:rPr>
          <w:rFonts w:ascii="Times New Roman" w:hAnsi="Times New Roman"/>
          <w:sz w:val="20"/>
          <w:lang w:val="en-GB"/>
        </w:rPr>
        <w:t>Ellen G. White, w:</w:t>
      </w:r>
      <w:r>
        <w:rPr>
          <w:rFonts w:ascii="Times New Roman" w:hAnsi="Times New Roman"/>
          <w:sz w:val="20"/>
          <w:lang w:val="en-GB"/>
        </w:rPr>
        <w:t> </w:t>
      </w:r>
      <w:bookmarkStart w:id="0" w:name="_GoBack"/>
      <w:bookmarkEnd w:id="0"/>
      <w:r w:rsidRPr="00A04EAF">
        <w:rPr>
          <w:rFonts w:ascii="Times New Roman" w:hAnsi="Times New Roman"/>
          <w:sz w:val="20"/>
          <w:lang w:val="en-GB"/>
        </w:rPr>
        <w:t xml:space="preserve"> </w:t>
      </w:r>
      <w:r w:rsidRPr="00A04EAF">
        <w:rPr>
          <w:rFonts w:ascii="Times New Roman" w:hAnsi="Times New Roman"/>
          <w:i/>
          <w:iCs/>
          <w:sz w:val="20"/>
          <w:lang w:val="en-GB"/>
        </w:rPr>
        <w:t>The SDA Bible Commentary</w:t>
      </w:r>
      <w:r w:rsidRPr="00A04EAF">
        <w:rPr>
          <w:rFonts w:ascii="Times New Roman" w:hAnsi="Times New Roman"/>
          <w:iCs/>
          <w:sz w:val="20"/>
          <w:lang w:val="en-GB"/>
        </w:rPr>
        <w:t>, t. </w:t>
      </w:r>
      <w:r w:rsidRPr="00A04EAF">
        <w:rPr>
          <w:rFonts w:ascii="Times New Roman" w:hAnsi="Times New Roman"/>
          <w:sz w:val="20"/>
          <w:lang w:val="en-GB"/>
        </w:rPr>
        <w:t>1, s. 1082). (Z</w:t>
      </w:r>
      <w:r w:rsidRPr="00A04EAF">
        <w:rPr>
          <w:rFonts w:ascii="Times New Roman" w:hAnsi="Times New Roman"/>
          <w:iCs/>
          <w:sz w:val="20"/>
          <w:lang w:val="en-GB"/>
        </w:rPr>
        <w:t>ob. także Iz 43,7</w:t>
      </w:r>
      <w:r w:rsidRPr="00A04EAF">
        <w:rPr>
          <w:rFonts w:ascii="Times New Roman" w:hAnsi="Times New Roman"/>
          <w:sz w:val="20"/>
        </w:rPr>
        <w:t>).</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sz w:val="20"/>
        </w:rPr>
        <w:t>Pod drzewem</w:t>
      </w:r>
    </w:p>
    <w:p w:rsidR="00344E00" w:rsidRPr="00A04EAF" w:rsidRDefault="00344E00" w:rsidP="00344E00">
      <w:pPr>
        <w:rPr>
          <w:rFonts w:ascii="Times New Roman" w:hAnsi="Times New Roman"/>
          <w:sz w:val="20"/>
        </w:rPr>
      </w:pPr>
      <w:r w:rsidRPr="00A04EAF">
        <w:rPr>
          <w:rFonts w:ascii="Times New Roman" w:hAnsi="Times New Roman"/>
          <w:sz w:val="20"/>
        </w:rPr>
        <w:t>„Jego zwolennicy radzili się go, a on [szatan] powstał i z butną miną poinformował ich o swoich planach odebrania Bogu (...) Adama i jego żony Ewy. (...) Sądzili, że gdyby uzyskali dostęp do drzewa życia w środku ogrodu, dorównaliby siłą świętym aniołom, tak iż nawet sam Bóg nie mógłby ich wyrzucić” (</w:t>
      </w:r>
      <w:r w:rsidRPr="00A04EAF">
        <w:rPr>
          <w:rFonts w:ascii="Times New Roman" w:hAnsi="Times New Roman"/>
          <w:sz w:val="20"/>
          <w:lang w:val="en-GB"/>
        </w:rPr>
        <w:t xml:space="preserve">Ellen G. White, </w:t>
      </w:r>
      <w:r w:rsidRPr="00A04EAF">
        <w:rPr>
          <w:rFonts w:ascii="Times New Roman" w:hAnsi="Times New Roman"/>
          <w:i/>
          <w:iCs/>
          <w:sz w:val="20"/>
          <w:lang w:val="en-GB"/>
        </w:rPr>
        <w:t>The Spirit of Prophecy</w:t>
      </w:r>
      <w:r w:rsidRPr="00A04EAF">
        <w:rPr>
          <w:rFonts w:ascii="Times New Roman" w:hAnsi="Times New Roman"/>
          <w:iCs/>
          <w:sz w:val="20"/>
          <w:lang w:val="en-GB"/>
        </w:rPr>
        <w:t>, t. </w:t>
      </w:r>
      <w:r w:rsidRPr="00A04EAF">
        <w:rPr>
          <w:rFonts w:ascii="Times New Roman" w:hAnsi="Times New Roman"/>
          <w:sz w:val="20"/>
          <w:lang w:val="en-GB"/>
        </w:rPr>
        <w:t>1, s. 30-31</w:t>
      </w:r>
      <w:r w:rsidRPr="00A04EAF">
        <w:rPr>
          <w:rFonts w:ascii="Times New Roman" w:hAnsi="Times New Roman"/>
          <w:sz w:val="20"/>
        </w:rPr>
        <w:t>).</w:t>
      </w:r>
    </w:p>
    <w:p w:rsidR="00344E00" w:rsidRPr="00A04EAF" w:rsidRDefault="00344E00" w:rsidP="00344E00">
      <w:pPr>
        <w:rPr>
          <w:rFonts w:ascii="Times New Roman" w:hAnsi="Times New Roman"/>
          <w:sz w:val="20"/>
        </w:rPr>
      </w:pPr>
      <w:r w:rsidRPr="00A04EAF">
        <w:rPr>
          <w:rFonts w:ascii="Times New Roman" w:hAnsi="Times New Roman"/>
          <w:sz w:val="20"/>
        </w:rPr>
        <w:t xml:space="preserve">Mówiąc proście, Bóg ostrzegł pierwszych ludzi, by unikali szczególnego drzewa, które Bóg zarezerwował dla siebie. „Pan dał mi wizję innych światów. Dano mi skrzydła i anioł towarzyszył mi od miasta do miejsca, gdzie panował silny blask. (...) Trawa była tam jasnozielona, a ptaki śpiewały słodko. Mieszkańcy (...) byli różnego wzrostu, wyglądali szlachetnie, majestatycznie i miło. (...) Ujrzałam dwa drzewa - jedno wyglądało podobnie jak drzewo żywota w mieście. Owoce obu drzew wyglądały pięknie, ale z jednego z drzew nie wolno było spożywać </w:t>
      </w:r>
      <w:r w:rsidRPr="00A04EAF">
        <w:rPr>
          <w:rFonts w:ascii="Times New Roman" w:hAnsi="Times New Roman"/>
          <w:sz w:val="20"/>
        </w:rPr>
        <w:lastRenderedPageBreak/>
        <w:t>owoców. Mieszkańcy mieli dostęp do obu drzew, ale zakaz obejmował jedno z nich. Towarzyszący mi anioł powiedział: «Nikt tutaj nie skosztował owocu z zakazanego drzewa»” (</w:t>
      </w:r>
      <w:r w:rsidRPr="00A04EAF">
        <w:rPr>
          <w:rFonts w:ascii="Times New Roman" w:hAnsi="Times New Roman"/>
          <w:sz w:val="20"/>
          <w:lang w:val="en-GB"/>
        </w:rPr>
        <w:t xml:space="preserve">Ellen G. White, </w:t>
      </w:r>
      <w:r w:rsidRPr="00A04EAF">
        <w:rPr>
          <w:rFonts w:ascii="Times New Roman" w:hAnsi="Times New Roman"/>
          <w:i/>
          <w:iCs/>
          <w:sz w:val="20"/>
          <w:lang w:val="en-GB"/>
        </w:rPr>
        <w:t>Early Writings</w:t>
      </w:r>
      <w:r w:rsidRPr="00A04EAF">
        <w:rPr>
          <w:rFonts w:ascii="Times New Roman" w:hAnsi="Times New Roman"/>
          <w:iCs/>
          <w:sz w:val="20"/>
          <w:lang w:val="en-GB"/>
        </w:rPr>
        <w:t>, s. </w:t>
      </w:r>
      <w:r w:rsidRPr="00A04EAF">
        <w:rPr>
          <w:rFonts w:ascii="Times New Roman" w:hAnsi="Times New Roman"/>
          <w:sz w:val="20"/>
          <w:lang w:val="en-GB"/>
        </w:rPr>
        <w:t>39-40</w:t>
      </w:r>
      <w:r w:rsidRPr="00A04EAF">
        <w:rPr>
          <w:rFonts w:ascii="Times New Roman" w:hAnsi="Times New Roman"/>
          <w:sz w:val="20"/>
        </w:rPr>
        <w:t xml:space="preserve">). </w:t>
      </w:r>
      <w:r w:rsidRPr="00A04EAF">
        <w:rPr>
          <w:rFonts w:ascii="Times New Roman" w:hAnsi="Times New Roman"/>
          <w:iCs/>
          <w:sz w:val="20"/>
          <w:lang w:val="en-GB"/>
        </w:rPr>
        <w:t>(Zob. także Rdz 2,15-17)</w:t>
      </w:r>
      <w:r w:rsidRPr="00A04EAF">
        <w:rPr>
          <w:rFonts w:ascii="Times New Roman" w:hAnsi="Times New Roman"/>
          <w:sz w:val="20"/>
        </w:rPr>
        <w:t>.</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sz w:val="20"/>
        </w:rPr>
        <w:t>Zerwanie więzi</w:t>
      </w:r>
    </w:p>
    <w:p w:rsidR="00344E00" w:rsidRPr="00A04EAF" w:rsidRDefault="00344E00" w:rsidP="00344E00">
      <w:pPr>
        <w:rPr>
          <w:rFonts w:ascii="Times New Roman" w:hAnsi="Times New Roman"/>
          <w:sz w:val="20"/>
        </w:rPr>
      </w:pPr>
      <w:r w:rsidRPr="00A04EAF">
        <w:rPr>
          <w:rFonts w:ascii="Times New Roman" w:hAnsi="Times New Roman"/>
          <w:sz w:val="20"/>
        </w:rPr>
        <w:t xml:space="preserve">Teologia buntu ludzkości jest powiązana z nieświętym rozumowaniem Adama, wypaczonym wskutek zakazanego owocu </w:t>
      </w:r>
      <w:r w:rsidRPr="00A04EAF">
        <w:rPr>
          <w:rFonts w:ascii="Times New Roman" w:hAnsi="Times New Roman"/>
          <w:i/>
          <w:sz w:val="20"/>
        </w:rPr>
        <w:t>relatywizmu</w:t>
      </w:r>
      <w:r w:rsidRPr="00A04EAF">
        <w:rPr>
          <w:rFonts w:ascii="Times New Roman" w:hAnsi="Times New Roman"/>
          <w:sz w:val="20"/>
        </w:rPr>
        <w:t xml:space="preserve">. Relatywizm, nowy paradygmat zła, zgodnie z którym ego zachowuje skłonność do decydowania o własnych parametrach moralności, rywalizuje z suwerenną wolą Boga, a może być pokonany jedynie przez Boską interwencję. </w:t>
      </w:r>
      <w:r w:rsidRPr="00A04EAF">
        <w:rPr>
          <w:rFonts w:ascii="Times New Roman" w:hAnsi="Times New Roman"/>
          <w:iCs/>
          <w:sz w:val="20"/>
          <w:lang w:val="en-GB"/>
        </w:rPr>
        <w:t>(Zob. Sdz 21,25)</w:t>
      </w:r>
      <w:r w:rsidRPr="00A04EAF">
        <w:rPr>
          <w:rFonts w:ascii="Times New Roman" w:hAnsi="Times New Roman"/>
          <w:sz w:val="20"/>
        </w:rPr>
        <w:t>.</w:t>
      </w:r>
    </w:p>
    <w:p w:rsidR="00344E00" w:rsidRPr="00A04EAF" w:rsidRDefault="00344E00" w:rsidP="00344E00">
      <w:pPr>
        <w:rPr>
          <w:rFonts w:ascii="Times New Roman" w:hAnsi="Times New Roman"/>
          <w:sz w:val="20"/>
        </w:rPr>
      </w:pPr>
      <w:r w:rsidRPr="00A04EAF">
        <w:rPr>
          <w:rFonts w:ascii="Times New Roman" w:hAnsi="Times New Roman"/>
          <w:sz w:val="20"/>
        </w:rPr>
        <w:t xml:space="preserve">Wynik tego jest tragiczny. „Oboje zjedli i (...) uzyskali (...) poznanie grzechu oraz poczucia winy. Otaczające ich </w:t>
      </w:r>
      <w:r w:rsidRPr="00A04EAF">
        <w:rPr>
          <w:rFonts w:ascii="Times New Roman" w:hAnsi="Times New Roman"/>
          <w:i/>
          <w:sz w:val="20"/>
        </w:rPr>
        <w:t>świetliste okrycie</w:t>
      </w:r>
      <w:r w:rsidRPr="00A04EAF">
        <w:rPr>
          <w:rFonts w:ascii="Times New Roman" w:hAnsi="Times New Roman"/>
          <w:sz w:val="20"/>
        </w:rPr>
        <w:t xml:space="preserve"> wkrótce znikło, a nękani poczuciem winy, widząc, że zostali pozbawieni </w:t>
      </w:r>
      <w:r w:rsidRPr="00A04EAF">
        <w:rPr>
          <w:rFonts w:ascii="Times New Roman" w:hAnsi="Times New Roman"/>
          <w:i/>
          <w:sz w:val="20"/>
        </w:rPr>
        <w:t>Bożego okrycia</w:t>
      </w:r>
      <w:r w:rsidRPr="00A04EAF">
        <w:rPr>
          <w:rFonts w:ascii="Times New Roman" w:hAnsi="Times New Roman"/>
          <w:sz w:val="20"/>
        </w:rPr>
        <w:t>, drżeli z przerażenia” (</w:t>
      </w:r>
      <w:r w:rsidRPr="00A04EAF">
        <w:rPr>
          <w:rFonts w:ascii="Times New Roman" w:hAnsi="Times New Roman"/>
          <w:sz w:val="20"/>
          <w:lang w:val="en-GB"/>
        </w:rPr>
        <w:t xml:space="preserve">Ellen G. White, </w:t>
      </w:r>
      <w:r w:rsidRPr="00A04EAF">
        <w:rPr>
          <w:rFonts w:ascii="Times New Roman" w:hAnsi="Times New Roman"/>
          <w:i/>
          <w:iCs/>
          <w:sz w:val="20"/>
          <w:lang w:val="en-GB"/>
        </w:rPr>
        <w:t>The Spirit of Prophecy</w:t>
      </w:r>
      <w:r w:rsidRPr="00A04EAF">
        <w:rPr>
          <w:rFonts w:ascii="Times New Roman" w:hAnsi="Times New Roman"/>
          <w:iCs/>
          <w:sz w:val="20"/>
          <w:lang w:val="en-GB"/>
        </w:rPr>
        <w:t>, t. </w:t>
      </w:r>
      <w:r w:rsidRPr="00A04EAF">
        <w:rPr>
          <w:rFonts w:ascii="Times New Roman" w:hAnsi="Times New Roman"/>
          <w:sz w:val="20"/>
          <w:lang w:val="en-GB"/>
        </w:rPr>
        <w:t>1, s. 40</w:t>
      </w:r>
      <w:r w:rsidRPr="00A04EAF">
        <w:rPr>
          <w:rFonts w:ascii="Times New Roman" w:hAnsi="Times New Roman"/>
          <w:sz w:val="20"/>
        </w:rPr>
        <w:t>).</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b/>
          <w:bCs/>
          <w:sz w:val="20"/>
        </w:rPr>
        <w:t xml:space="preserve">Część III: Zastosowanie </w:t>
      </w:r>
    </w:p>
    <w:p w:rsidR="00344E00" w:rsidRPr="00A04EAF" w:rsidRDefault="00344E00" w:rsidP="00344E00">
      <w:pPr>
        <w:rPr>
          <w:rFonts w:ascii="Times New Roman" w:hAnsi="Times New Roman"/>
          <w:sz w:val="20"/>
        </w:rPr>
      </w:pPr>
    </w:p>
    <w:p w:rsidR="00344E00" w:rsidRPr="00A04EAF" w:rsidRDefault="00344E00" w:rsidP="00344E00">
      <w:pPr>
        <w:rPr>
          <w:rFonts w:ascii="Times New Roman" w:hAnsi="Times New Roman"/>
          <w:sz w:val="20"/>
        </w:rPr>
      </w:pPr>
      <w:r w:rsidRPr="00A04EAF">
        <w:rPr>
          <w:rFonts w:ascii="Times New Roman" w:hAnsi="Times New Roman"/>
          <w:b/>
          <w:bCs/>
          <w:sz w:val="20"/>
          <w:lang w:val="en-GB"/>
        </w:rPr>
        <w:t xml:space="preserve">Do przemyślenia: </w:t>
      </w:r>
      <w:r w:rsidRPr="00A04EAF">
        <w:rPr>
          <w:rFonts w:ascii="Times New Roman" w:hAnsi="Times New Roman"/>
          <w:sz w:val="20"/>
        </w:rPr>
        <w:t>Obecnie borykamy się ze skutkami grzechu we wszystkich aspektach naszego życia. Istnieje doktryna teologiczna zwana „zupełną deprawacją”. Choć nie oznacza tego, co potocznie rozumie się przez to wyrażenie, to jednak jest niewiele lepsza. Według tej doktryny każdy aspekt ludzkiej egzystencji został dotknięty przez grzech. Obserwacja wydaje się to potwierdzać.</w:t>
      </w:r>
    </w:p>
    <w:p w:rsidR="00344E00" w:rsidRPr="00A04EAF" w:rsidRDefault="00344E00" w:rsidP="00344E00">
      <w:pPr>
        <w:rPr>
          <w:rFonts w:ascii="Times New Roman" w:hAnsi="Times New Roman"/>
          <w:sz w:val="20"/>
        </w:rPr>
      </w:pPr>
      <w:r w:rsidRPr="00A04EAF">
        <w:rPr>
          <w:rFonts w:ascii="Times New Roman" w:hAnsi="Times New Roman"/>
          <w:sz w:val="20"/>
        </w:rPr>
        <w:t>1. Jak przejawia się w naszym życiu rzeczywistość „zupełnej deprawacji”? Co możemy z tym zrobić? Skoro problem tkwi w naszej naturze i nie możemy mu sami zaradzić, w jaki sposób nasza natura może zostać zmieniona? W jakim stopniu może nastąpić ta zmiana?</w:t>
      </w:r>
    </w:p>
    <w:p w:rsidR="00344E00" w:rsidRPr="00A04EAF" w:rsidRDefault="00344E00" w:rsidP="00344E00">
      <w:pPr>
        <w:rPr>
          <w:rFonts w:ascii="Times New Roman" w:hAnsi="Times New Roman"/>
          <w:sz w:val="20"/>
        </w:rPr>
      </w:pPr>
      <w:r w:rsidRPr="00A04EAF">
        <w:rPr>
          <w:rFonts w:ascii="Times New Roman" w:hAnsi="Times New Roman"/>
          <w:sz w:val="20"/>
        </w:rPr>
        <w:t>2. Upadek uczynił nas praktycznie niezdolnymi do pełnej więzi z Bogiem. Jezus umarł za nas, aby przywrócić naszą więź z Bogiem. Jak moc krwi Jezusa uzdalnia nas do odrodzenia tej więzi?</w:t>
      </w:r>
    </w:p>
    <w:p w:rsidR="00344E00" w:rsidRPr="00A04EAF" w:rsidRDefault="00344E00" w:rsidP="00344E00">
      <w:pPr>
        <w:rPr>
          <w:rFonts w:ascii="Times New Roman" w:hAnsi="Times New Roman"/>
          <w:sz w:val="20"/>
        </w:rPr>
      </w:pPr>
      <w:r w:rsidRPr="00A04EAF">
        <w:rPr>
          <w:rFonts w:ascii="Times New Roman" w:hAnsi="Times New Roman"/>
          <w:sz w:val="20"/>
        </w:rPr>
        <w:t>3. Nasz Stwórca poświęcił dużo czasu i uwagi, stwarzając Adama i Ewę. Dlaczego stworzenie człowieka uczynił wydarzeniem, o którym będzie się mówić, dyskutować i które będzie wzbudzać zdumienie przez całą wieczność? Porównaj stworzenie ludzkości przez Boga z przygotowaniami, jakie rodzice czynią przed narodzinami dziecka. Jak te podobieństwa pomagają nam zrozumieć miłość Boga do nas?</w:t>
      </w:r>
    </w:p>
    <w:p w:rsidR="00344E00" w:rsidRPr="00A04EAF" w:rsidRDefault="00344E00" w:rsidP="00344E00">
      <w:pPr>
        <w:rPr>
          <w:rFonts w:ascii="Times New Roman" w:hAnsi="Times New Roman"/>
          <w:sz w:val="20"/>
        </w:rPr>
      </w:pPr>
      <w:r w:rsidRPr="00A04EAF">
        <w:rPr>
          <w:rFonts w:ascii="Times New Roman" w:hAnsi="Times New Roman"/>
          <w:sz w:val="20"/>
        </w:rPr>
        <w:t>4. Jak dostęp do mocy Bożej sprzyja naszemu duchowemu rozwojowi i zrozumieniu Bożego planu dla nas?</w:t>
      </w:r>
    </w:p>
    <w:p w:rsidR="00344E00" w:rsidRPr="00A04EAF" w:rsidRDefault="00344E00" w:rsidP="00344E00">
      <w:pPr>
        <w:rPr>
          <w:rFonts w:ascii="Times New Roman" w:hAnsi="Times New Roman"/>
          <w:sz w:val="20"/>
        </w:rPr>
      </w:pPr>
      <w:r w:rsidRPr="00A04EAF">
        <w:rPr>
          <w:rFonts w:ascii="Times New Roman" w:hAnsi="Times New Roman"/>
          <w:sz w:val="20"/>
        </w:rPr>
        <w:t>5. Ponieważ Bóg jest wszechwiedzący, wiedział, jakie „ryzyko” wiąże się ze stworzeniem ludzkości na Jego obraz. Wyobraź sobie, jak trudna musiała być dla Niego decyzja wdrożenia „Planu B” opartego na śmierci Jego jedynego Syna. Co oznacza Plan B dla ciebie, kiedy wykraczasz poza granice twojej więzi z Bogiem? Jak to, co odwraca twoją uwagę i pokusy, których doświadczasz, są podobne do tych, wobec których stanęli Adam i Ewa?</w:t>
      </w:r>
    </w:p>
    <w:p w:rsidR="00344E00" w:rsidRPr="00A04EAF" w:rsidRDefault="00344E00" w:rsidP="00344E00">
      <w:pPr>
        <w:rPr>
          <w:rFonts w:ascii="Times New Roman" w:hAnsi="Times New Roman"/>
          <w:sz w:val="20"/>
        </w:rPr>
      </w:pPr>
      <w:r w:rsidRPr="00A04EAF">
        <w:rPr>
          <w:rFonts w:ascii="Times New Roman" w:hAnsi="Times New Roman"/>
          <w:sz w:val="20"/>
        </w:rPr>
        <w:t xml:space="preserve">6. Kiedy Jezus żył na Ziemi, Jego dotyk uzdrawiał wielu z tych, którzy uwierzyli. Ten dotyk był przebłyskiem Jego stwórczej mocy. Zanim Jezus odszedł do nieba, obiecał, że udzieli nam dostępu do Jego stwórczej mocy </w:t>
      </w:r>
      <w:r w:rsidRPr="00A04EAF">
        <w:rPr>
          <w:rFonts w:ascii="Times New Roman" w:hAnsi="Times New Roman"/>
          <w:iCs/>
          <w:sz w:val="20"/>
          <w:lang w:val="en-GB"/>
        </w:rPr>
        <w:t>(J 14,12-14)</w:t>
      </w:r>
      <w:r w:rsidRPr="00A04EAF">
        <w:rPr>
          <w:rFonts w:ascii="Times New Roman" w:hAnsi="Times New Roman"/>
          <w:sz w:val="20"/>
        </w:rPr>
        <w:t>. Czy ta obietnica jest symboliczna, czy rzeczywista? Wyjaśnij swoją odpowiedź. Jak ta obietnica może zmienić twoje codzienne życie?</w:t>
      </w:r>
    </w:p>
    <w:p w:rsidR="00344E00" w:rsidRPr="00A04EAF" w:rsidRDefault="00344E00" w:rsidP="00344E00">
      <w:pPr>
        <w:rPr>
          <w:rFonts w:ascii="Times New Roman" w:hAnsi="Times New Roman"/>
          <w:sz w:val="20"/>
        </w:rPr>
      </w:pPr>
      <w:r w:rsidRPr="00A04EAF">
        <w:rPr>
          <w:rFonts w:ascii="Times New Roman" w:hAnsi="Times New Roman"/>
          <w:sz w:val="20"/>
        </w:rPr>
        <w:t xml:space="preserve">7. </w:t>
      </w:r>
      <w:r w:rsidRPr="00A04EAF">
        <w:rPr>
          <w:rFonts w:ascii="Times New Roman" w:hAnsi="Times New Roman"/>
          <w:i/>
          <w:sz w:val="20"/>
        </w:rPr>
        <w:t>Księga Rodzaju</w:t>
      </w:r>
      <w:r w:rsidRPr="00A04EAF">
        <w:rPr>
          <w:rFonts w:ascii="Times New Roman" w:hAnsi="Times New Roman"/>
          <w:sz w:val="20"/>
        </w:rPr>
        <w:t xml:space="preserve"> wskazuje, że ludzkość pierwotnie została stworzona na obraz Boga. Czy dotyczy to jedynie stanu ludzkości przed upadkiem, czy nadal w pewnym sensie jest to prawdą? Jeśli tak, to w jaki sposób?</w:t>
      </w:r>
    </w:p>
    <w:p w:rsidR="00344E00" w:rsidRPr="00A04EAF" w:rsidRDefault="00344E00" w:rsidP="00344E00">
      <w:pPr>
        <w:rPr>
          <w:rFonts w:ascii="Times New Roman" w:hAnsi="Times New Roman"/>
          <w:sz w:val="20"/>
        </w:rPr>
      </w:pPr>
      <w:r w:rsidRPr="00A04EAF">
        <w:rPr>
          <w:rFonts w:ascii="Times New Roman" w:hAnsi="Times New Roman"/>
          <w:sz w:val="20"/>
        </w:rPr>
        <w:t>8. Bóg powiedział Adamowi i Ewie, by panowali nad Ziemią (przyrodą) i czynili ją sobie poddaną. Jak powinniśmy interpretować to polecenie w świetle nieodpowiedzialnej eksploatacji przyrody przez ludzi?</w:t>
      </w:r>
    </w:p>
    <w:p w:rsidR="00344E00" w:rsidRPr="00A04EAF" w:rsidRDefault="00344E00" w:rsidP="00344E00">
      <w:pPr>
        <w:rPr>
          <w:rFonts w:ascii="Times New Roman" w:hAnsi="Times New Roman"/>
          <w:sz w:val="20"/>
        </w:rPr>
      </w:pPr>
      <w:r w:rsidRPr="00A04EAF">
        <w:rPr>
          <w:rFonts w:ascii="Times New Roman" w:hAnsi="Times New Roman"/>
          <w:sz w:val="20"/>
        </w:rPr>
        <w:t>9. Adam i Ewa upadli czyniąc niewłaściwy użytek z wolnej woli. Wolna wola, dana człowiekowi jako dar Boży, została obrócona w przekleństwo. Jakie inne dobre Boże dary mogą się stać przekleństwem wskutek naszych niewłaściwych wyborów?</w:t>
      </w:r>
    </w:p>
    <w:p w:rsidR="00344E00" w:rsidRPr="00A04EAF" w:rsidRDefault="00344E00" w:rsidP="00344E00">
      <w:pPr>
        <w:rPr>
          <w:rFonts w:ascii="Times New Roman" w:hAnsi="Times New Roman"/>
          <w:sz w:val="20"/>
        </w:rPr>
      </w:pPr>
      <w:r w:rsidRPr="00A04EAF">
        <w:rPr>
          <w:rFonts w:ascii="Times New Roman" w:hAnsi="Times New Roman"/>
          <w:sz w:val="20"/>
        </w:rPr>
        <w:t>10. Dam, zamiast podążać za Bogiem, podążył za Ewą. Jak świadczy to o niebezpieczeństwie związanym z naśladowaniem osób i grup, które mogą nas odwodzić od Boga?</w:t>
      </w:r>
    </w:p>
    <w:p w:rsidR="00344E00" w:rsidRPr="00A04EAF" w:rsidRDefault="00344E00" w:rsidP="00344E00">
      <w:pPr>
        <w:rPr>
          <w:rFonts w:ascii="Times New Roman" w:hAnsi="Times New Roman"/>
          <w:sz w:val="20"/>
        </w:rPr>
      </w:pPr>
    </w:p>
    <w:p w:rsidR="004B532A" w:rsidRPr="00EF6A2C" w:rsidRDefault="004B532A"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jc w:val="center"/>
        <w:rPr>
          <w:rFonts w:ascii="Times New Roman" w:hAnsi="Times New Roman"/>
          <w:sz w:val="20"/>
        </w:rPr>
      </w:pPr>
    </w:p>
    <w:sectPr w:rsidR="004B532A" w:rsidRPr="00EF6A2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549" w:rsidRDefault="00544549" w:rsidP="00A820C9">
      <w:r>
        <w:separator/>
      </w:r>
    </w:p>
  </w:endnote>
  <w:endnote w:type="continuationSeparator" w:id="0">
    <w:p w:rsidR="00544549" w:rsidRDefault="00544549"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544549">
          <w:rPr>
            <w:rFonts w:ascii="Times New Roman" w:hAnsi="Times New Roman"/>
            <w:noProof/>
            <w:sz w:val="16"/>
            <w:szCs w:val="16"/>
          </w:rPr>
          <w:t>1</w:t>
        </w:r>
        <w:r w:rsidRPr="00A820C9">
          <w:rPr>
            <w:rFonts w:ascii="Times New Roman" w:hAnsi="Times New Roman"/>
            <w:sz w:val="16"/>
            <w:szCs w:val="16"/>
          </w:rPr>
          <w:fldChar w:fldCharType="end"/>
        </w:r>
      </w:p>
    </w:sdtContent>
  </w:sdt>
  <w:p w:rsidR="00A97ECA" w:rsidRDefault="00A97EC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549" w:rsidRDefault="00544549" w:rsidP="00A820C9">
      <w:r>
        <w:separator/>
      </w:r>
    </w:p>
  </w:footnote>
  <w:footnote w:type="continuationSeparator" w:id="0">
    <w:p w:rsidR="00544549" w:rsidRDefault="00544549"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0" w:rsidRPr="00A04EAF" w:rsidRDefault="00344E00" w:rsidP="00344E00">
    <w:pPr>
      <w:rPr>
        <w:rFonts w:ascii="Times New Roman" w:hAnsi="Times New Roman"/>
        <w:i/>
        <w:iCs/>
        <w:sz w:val="20"/>
      </w:rPr>
    </w:pPr>
    <w:r w:rsidRPr="00344E00">
      <w:rPr>
        <w:rFonts w:ascii="Times New Roman" w:eastAsia="MS PMincho" w:hAnsi="Times New Roman"/>
        <w:sz w:val="16"/>
      </w:rPr>
      <w:t xml:space="preserve">Lekcje Biblijne </w:t>
    </w:r>
    <w:r w:rsidRPr="00344E00">
      <w:rPr>
        <w:rFonts w:ascii="Times New Roman" w:eastAsia="MS PMincho" w:hAnsi="Times New Roman"/>
        <w:sz w:val="16"/>
      </w:rPr>
      <w:t>2</w:t>
    </w:r>
    <w:r w:rsidRPr="00344E00">
      <w:rPr>
        <w:rFonts w:ascii="Times New Roman" w:eastAsia="MS PMincho" w:hAnsi="Times New Roman"/>
        <w:sz w:val="16"/>
      </w:rPr>
      <w:t>/2021</w:t>
    </w:r>
    <w:r w:rsidRPr="00344E00">
      <w:rPr>
        <w:rFonts w:ascii="Times New Roman" w:eastAsia="MS PMincho" w:hAnsi="Times New Roman"/>
        <w:sz w:val="16"/>
      </w:rPr>
      <w:t xml:space="preserve">, </w:t>
    </w:r>
    <w:r w:rsidRPr="00344E00">
      <w:rPr>
        <w:rFonts w:ascii="Times New Roman" w:hAnsi="Times New Roman"/>
        <w:sz w:val="16"/>
      </w:rPr>
      <w:t>Gerhard F. Hasel</w:t>
    </w:r>
    <w:r>
      <w:rPr>
        <w:rFonts w:ascii="Times New Roman" w:hAnsi="Times New Roman"/>
        <w:sz w:val="16"/>
      </w:rPr>
      <w:t xml:space="preserve">, </w:t>
    </w:r>
    <w:r w:rsidRPr="00344E00">
      <w:rPr>
        <w:rFonts w:ascii="Times New Roman" w:hAnsi="Times New Roman"/>
        <w:i/>
        <w:iCs/>
        <w:sz w:val="18"/>
      </w:rPr>
      <w:t>Obietnica</w:t>
    </w:r>
    <w:r w:rsidRPr="00344E00">
      <w:rPr>
        <w:rFonts w:ascii="Times New Roman" w:hAnsi="Times New Roman"/>
        <w:i/>
        <w:iCs/>
        <w:sz w:val="18"/>
      </w:rPr>
      <w:t xml:space="preserve">, </w:t>
    </w:r>
    <w:r w:rsidRPr="00344E00">
      <w:rPr>
        <w:rFonts w:ascii="Times New Roman" w:hAnsi="Times New Roman"/>
        <w:i/>
        <w:iCs/>
        <w:sz w:val="18"/>
      </w:rPr>
      <w:t>Wieczne Boże przymierze</w:t>
    </w:r>
  </w:p>
  <w:p w:rsidR="00344E00" w:rsidRPr="00344E00" w:rsidRDefault="00344E00" w:rsidP="00344E00">
    <w:pPr>
      <w:rPr>
        <w:rFonts w:ascii="Times New Roman" w:hAnsi="Times New Roman"/>
        <w:sz w:val="16"/>
      </w:rPr>
    </w:pPr>
    <w:r w:rsidRPr="00344E00">
      <w:rPr>
        <w:rFonts w:ascii="Times New Roman" w:hAnsi="Times New Roman"/>
        <w:sz w:val="16"/>
      </w:rPr>
      <w:t>Lekcja 1 - 3 kwietnia</w:t>
    </w:r>
    <w:r w:rsidRPr="00344E00">
      <w:rPr>
        <w:rFonts w:ascii="Times New Roman" w:hAnsi="Times New Roman"/>
        <w:sz w:val="16"/>
      </w:rPr>
      <w:t xml:space="preserve">, </w:t>
    </w:r>
    <w:r w:rsidRPr="00344E00">
      <w:rPr>
        <w:rFonts w:ascii="Times New Roman" w:hAnsi="Times New Roman"/>
        <w:sz w:val="16"/>
      </w:rPr>
      <w:t>Co się stało?</w:t>
    </w:r>
  </w:p>
  <w:p w:rsidR="00A97ECA" w:rsidRPr="00AA0514" w:rsidRDefault="00A97ECA" w:rsidP="00E86CB7">
    <w:pPr>
      <w:tabs>
        <w:tab w:val="left" w:pos="5751"/>
      </w:tabs>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06FBF"/>
    <w:rsid w:val="0002114D"/>
    <w:rsid w:val="000314C7"/>
    <w:rsid w:val="000520B7"/>
    <w:rsid w:val="00057016"/>
    <w:rsid w:val="00057F7D"/>
    <w:rsid w:val="000601FC"/>
    <w:rsid w:val="0006177B"/>
    <w:rsid w:val="000626C5"/>
    <w:rsid w:val="00063209"/>
    <w:rsid w:val="00071DD3"/>
    <w:rsid w:val="00073013"/>
    <w:rsid w:val="000803E0"/>
    <w:rsid w:val="0008053E"/>
    <w:rsid w:val="00084D07"/>
    <w:rsid w:val="00095BF6"/>
    <w:rsid w:val="000A7CAE"/>
    <w:rsid w:val="000B4665"/>
    <w:rsid w:val="000C39FA"/>
    <w:rsid w:val="000C43D8"/>
    <w:rsid w:val="000D0B43"/>
    <w:rsid w:val="000E37F9"/>
    <w:rsid w:val="000E3D8C"/>
    <w:rsid w:val="00130250"/>
    <w:rsid w:val="00131D4E"/>
    <w:rsid w:val="001344DC"/>
    <w:rsid w:val="00160A2E"/>
    <w:rsid w:val="001634CA"/>
    <w:rsid w:val="00172E60"/>
    <w:rsid w:val="001900C2"/>
    <w:rsid w:val="001A14AD"/>
    <w:rsid w:val="001A64A1"/>
    <w:rsid w:val="001B6CB1"/>
    <w:rsid w:val="001C3DCA"/>
    <w:rsid w:val="001D207D"/>
    <w:rsid w:val="001F3AB8"/>
    <w:rsid w:val="00211923"/>
    <w:rsid w:val="0024201E"/>
    <w:rsid w:val="00247ECF"/>
    <w:rsid w:val="00256C0B"/>
    <w:rsid w:val="00262399"/>
    <w:rsid w:val="002646E2"/>
    <w:rsid w:val="00267AD9"/>
    <w:rsid w:val="0027003D"/>
    <w:rsid w:val="0028485A"/>
    <w:rsid w:val="002A1958"/>
    <w:rsid w:val="002C1A03"/>
    <w:rsid w:val="002C4FFF"/>
    <w:rsid w:val="002D1C21"/>
    <w:rsid w:val="002F38CF"/>
    <w:rsid w:val="002F7A06"/>
    <w:rsid w:val="003233CA"/>
    <w:rsid w:val="00323F87"/>
    <w:rsid w:val="0033532F"/>
    <w:rsid w:val="00341D7B"/>
    <w:rsid w:val="00343844"/>
    <w:rsid w:val="00344E00"/>
    <w:rsid w:val="00350868"/>
    <w:rsid w:val="003562CF"/>
    <w:rsid w:val="00357FBB"/>
    <w:rsid w:val="00362A7E"/>
    <w:rsid w:val="0036462B"/>
    <w:rsid w:val="003A4695"/>
    <w:rsid w:val="003B7F2E"/>
    <w:rsid w:val="003C11EC"/>
    <w:rsid w:val="003C5237"/>
    <w:rsid w:val="003D1F71"/>
    <w:rsid w:val="003D35FF"/>
    <w:rsid w:val="003E5187"/>
    <w:rsid w:val="00404868"/>
    <w:rsid w:val="00411F03"/>
    <w:rsid w:val="00422C48"/>
    <w:rsid w:val="0043366A"/>
    <w:rsid w:val="0044128C"/>
    <w:rsid w:val="00457757"/>
    <w:rsid w:val="004622A1"/>
    <w:rsid w:val="004765D6"/>
    <w:rsid w:val="004A07EB"/>
    <w:rsid w:val="004A1F71"/>
    <w:rsid w:val="004A68C6"/>
    <w:rsid w:val="004B532A"/>
    <w:rsid w:val="004D072B"/>
    <w:rsid w:val="004E0A2B"/>
    <w:rsid w:val="004E2DE9"/>
    <w:rsid w:val="004F7F95"/>
    <w:rsid w:val="00504576"/>
    <w:rsid w:val="00512C47"/>
    <w:rsid w:val="005205E4"/>
    <w:rsid w:val="00521F52"/>
    <w:rsid w:val="00535F72"/>
    <w:rsid w:val="00544549"/>
    <w:rsid w:val="00547F5F"/>
    <w:rsid w:val="005537F3"/>
    <w:rsid w:val="0055562E"/>
    <w:rsid w:val="005675D2"/>
    <w:rsid w:val="0058262E"/>
    <w:rsid w:val="0058625A"/>
    <w:rsid w:val="005B1BDE"/>
    <w:rsid w:val="005B5CE3"/>
    <w:rsid w:val="005C0E8B"/>
    <w:rsid w:val="005C7E3B"/>
    <w:rsid w:val="005D58BF"/>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A77D5"/>
    <w:rsid w:val="0071208E"/>
    <w:rsid w:val="00725650"/>
    <w:rsid w:val="00727749"/>
    <w:rsid w:val="007346EB"/>
    <w:rsid w:val="0074017C"/>
    <w:rsid w:val="007608BA"/>
    <w:rsid w:val="0076232D"/>
    <w:rsid w:val="00767D8E"/>
    <w:rsid w:val="007812DA"/>
    <w:rsid w:val="00785516"/>
    <w:rsid w:val="007934DA"/>
    <w:rsid w:val="0079785B"/>
    <w:rsid w:val="007B67F4"/>
    <w:rsid w:val="007C0F83"/>
    <w:rsid w:val="007E39EB"/>
    <w:rsid w:val="007F2BD7"/>
    <w:rsid w:val="008202AD"/>
    <w:rsid w:val="00845363"/>
    <w:rsid w:val="008572DB"/>
    <w:rsid w:val="00870FEF"/>
    <w:rsid w:val="0087312A"/>
    <w:rsid w:val="008A4CC9"/>
    <w:rsid w:val="008A5882"/>
    <w:rsid w:val="008C1F5B"/>
    <w:rsid w:val="008C694D"/>
    <w:rsid w:val="008E0114"/>
    <w:rsid w:val="008E1633"/>
    <w:rsid w:val="009039D9"/>
    <w:rsid w:val="00903AB3"/>
    <w:rsid w:val="00904615"/>
    <w:rsid w:val="00933C8E"/>
    <w:rsid w:val="00934141"/>
    <w:rsid w:val="009378A8"/>
    <w:rsid w:val="00947D49"/>
    <w:rsid w:val="00971A12"/>
    <w:rsid w:val="00974B48"/>
    <w:rsid w:val="0097572F"/>
    <w:rsid w:val="00980C54"/>
    <w:rsid w:val="0099242B"/>
    <w:rsid w:val="00997535"/>
    <w:rsid w:val="009A6521"/>
    <w:rsid w:val="009A7A43"/>
    <w:rsid w:val="009C3EC3"/>
    <w:rsid w:val="009D20F6"/>
    <w:rsid w:val="009E786E"/>
    <w:rsid w:val="009F11FB"/>
    <w:rsid w:val="009F74C4"/>
    <w:rsid w:val="00A03AF6"/>
    <w:rsid w:val="00A06761"/>
    <w:rsid w:val="00A10178"/>
    <w:rsid w:val="00A1594B"/>
    <w:rsid w:val="00A22AA7"/>
    <w:rsid w:val="00A249C3"/>
    <w:rsid w:val="00A32AA6"/>
    <w:rsid w:val="00A372AD"/>
    <w:rsid w:val="00A41678"/>
    <w:rsid w:val="00A45D17"/>
    <w:rsid w:val="00A47A53"/>
    <w:rsid w:val="00A501CB"/>
    <w:rsid w:val="00A51056"/>
    <w:rsid w:val="00A55737"/>
    <w:rsid w:val="00A74F83"/>
    <w:rsid w:val="00A81F1D"/>
    <w:rsid w:val="00A820C9"/>
    <w:rsid w:val="00A85D90"/>
    <w:rsid w:val="00A974E6"/>
    <w:rsid w:val="00A97ECA"/>
    <w:rsid w:val="00AA0514"/>
    <w:rsid w:val="00AA336A"/>
    <w:rsid w:val="00AC3205"/>
    <w:rsid w:val="00AD4D5B"/>
    <w:rsid w:val="00AD7194"/>
    <w:rsid w:val="00B12BA8"/>
    <w:rsid w:val="00B27439"/>
    <w:rsid w:val="00B32C6C"/>
    <w:rsid w:val="00B42BF8"/>
    <w:rsid w:val="00B5045B"/>
    <w:rsid w:val="00B53BCA"/>
    <w:rsid w:val="00B608AC"/>
    <w:rsid w:val="00B70608"/>
    <w:rsid w:val="00BA5879"/>
    <w:rsid w:val="00BA7EDD"/>
    <w:rsid w:val="00BD0104"/>
    <w:rsid w:val="00BE5836"/>
    <w:rsid w:val="00C045AF"/>
    <w:rsid w:val="00C14432"/>
    <w:rsid w:val="00C2619A"/>
    <w:rsid w:val="00C34141"/>
    <w:rsid w:val="00C42F81"/>
    <w:rsid w:val="00C44AC9"/>
    <w:rsid w:val="00C539F9"/>
    <w:rsid w:val="00C61B5B"/>
    <w:rsid w:val="00C711AB"/>
    <w:rsid w:val="00C85D32"/>
    <w:rsid w:val="00CA1F88"/>
    <w:rsid w:val="00CB2110"/>
    <w:rsid w:val="00CB571A"/>
    <w:rsid w:val="00CD55B6"/>
    <w:rsid w:val="00CD6B02"/>
    <w:rsid w:val="00CE4997"/>
    <w:rsid w:val="00CE7CCE"/>
    <w:rsid w:val="00CF2F3B"/>
    <w:rsid w:val="00D010E2"/>
    <w:rsid w:val="00D0120F"/>
    <w:rsid w:val="00D1365B"/>
    <w:rsid w:val="00D143E6"/>
    <w:rsid w:val="00D17CAF"/>
    <w:rsid w:val="00D3080D"/>
    <w:rsid w:val="00D43042"/>
    <w:rsid w:val="00D43CA9"/>
    <w:rsid w:val="00D460C5"/>
    <w:rsid w:val="00D5040D"/>
    <w:rsid w:val="00D5746C"/>
    <w:rsid w:val="00D67231"/>
    <w:rsid w:val="00D7222D"/>
    <w:rsid w:val="00DB7651"/>
    <w:rsid w:val="00DD7EA6"/>
    <w:rsid w:val="00DE0B9C"/>
    <w:rsid w:val="00DE5AB9"/>
    <w:rsid w:val="00DF1EA2"/>
    <w:rsid w:val="00E024F6"/>
    <w:rsid w:val="00E03075"/>
    <w:rsid w:val="00E274A1"/>
    <w:rsid w:val="00E32868"/>
    <w:rsid w:val="00E60CC8"/>
    <w:rsid w:val="00E74F52"/>
    <w:rsid w:val="00E7674E"/>
    <w:rsid w:val="00E86CB7"/>
    <w:rsid w:val="00E9226C"/>
    <w:rsid w:val="00E95C9D"/>
    <w:rsid w:val="00EB1FDE"/>
    <w:rsid w:val="00EB34DD"/>
    <w:rsid w:val="00F16358"/>
    <w:rsid w:val="00F2397B"/>
    <w:rsid w:val="00F40C65"/>
    <w:rsid w:val="00F42B0D"/>
    <w:rsid w:val="00F47047"/>
    <w:rsid w:val="00F5322D"/>
    <w:rsid w:val="00F711C9"/>
    <w:rsid w:val="00F757EC"/>
    <w:rsid w:val="00F86EBE"/>
    <w:rsid w:val="00F96322"/>
    <w:rsid w:val="00FB0002"/>
    <w:rsid w:val="00FC280C"/>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99D23"/>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1102</Words>
  <Characters>6616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4</cp:revision>
  <cp:lastPrinted>2021-01-27T17:24:00Z</cp:lastPrinted>
  <dcterms:created xsi:type="dcterms:W3CDTF">2021-03-01T16:41:00Z</dcterms:created>
  <dcterms:modified xsi:type="dcterms:W3CDTF">2021-03-21T11:27:00Z</dcterms:modified>
</cp:coreProperties>
</file>