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BA931" w14:textId="3E7053E7" w:rsidR="00344E00" w:rsidRPr="003E3A74" w:rsidRDefault="00A820C9" w:rsidP="00A820C9">
      <w:pPr>
        <w:ind w:firstLine="0"/>
        <w:rPr>
          <w:rFonts w:ascii="Times New Roman" w:hAnsi="Times New Roman"/>
          <w:sz w:val="28"/>
          <w:szCs w:val="28"/>
        </w:rPr>
      </w:pPr>
      <w:r w:rsidRPr="004F76CE">
        <w:rPr>
          <w:rFonts w:ascii="Times New Roman" w:hAnsi="Times New Roman"/>
          <w:sz w:val="20"/>
        </w:rPr>
        <w:t xml:space="preserve"> Lekcja </w:t>
      </w:r>
      <w:r w:rsidR="00CE667A">
        <w:rPr>
          <w:rFonts w:ascii="Times New Roman" w:hAnsi="Times New Roman"/>
          <w:sz w:val="20"/>
        </w:rPr>
        <w:t>9</w:t>
      </w:r>
      <w:r w:rsidR="004765D6" w:rsidRPr="004F76CE">
        <w:rPr>
          <w:rFonts w:ascii="Times New Roman" w:hAnsi="Times New Roman"/>
          <w:sz w:val="20"/>
        </w:rPr>
        <w:tab/>
      </w:r>
      <w:r w:rsidR="004765D6" w:rsidRPr="004F76CE">
        <w:rPr>
          <w:rFonts w:ascii="Times New Roman" w:hAnsi="Times New Roman"/>
          <w:sz w:val="20"/>
        </w:rPr>
        <w:tab/>
      </w:r>
      <w:r w:rsidR="004765D6" w:rsidRPr="004F76CE">
        <w:rPr>
          <w:rFonts w:ascii="Times New Roman" w:hAnsi="Times New Roman"/>
          <w:sz w:val="20"/>
        </w:rPr>
        <w:tab/>
      </w:r>
      <w:r w:rsidR="004765D6" w:rsidRPr="004F76CE">
        <w:rPr>
          <w:rFonts w:ascii="Times New Roman" w:hAnsi="Times New Roman"/>
          <w:sz w:val="20"/>
        </w:rPr>
        <w:tab/>
      </w:r>
      <w:r w:rsidR="004765D6" w:rsidRPr="003E3A74">
        <w:rPr>
          <w:rFonts w:ascii="Times New Roman" w:hAnsi="Times New Roman"/>
          <w:sz w:val="28"/>
          <w:szCs w:val="28"/>
        </w:rPr>
        <w:tab/>
      </w:r>
      <w:r w:rsidR="004765D6" w:rsidRPr="003E3A74">
        <w:rPr>
          <w:rFonts w:ascii="Times New Roman" w:hAnsi="Times New Roman"/>
          <w:sz w:val="28"/>
          <w:szCs w:val="28"/>
        </w:rPr>
        <w:tab/>
      </w:r>
      <w:r w:rsidR="004765D6" w:rsidRPr="003E3A74">
        <w:rPr>
          <w:rFonts w:ascii="Times New Roman" w:hAnsi="Times New Roman"/>
          <w:sz w:val="28"/>
          <w:szCs w:val="28"/>
        </w:rPr>
        <w:tab/>
      </w:r>
      <w:r w:rsidR="004765D6" w:rsidRPr="003E3A74">
        <w:rPr>
          <w:rFonts w:ascii="Times New Roman" w:hAnsi="Times New Roman"/>
          <w:sz w:val="28"/>
          <w:szCs w:val="28"/>
        </w:rPr>
        <w:tab/>
      </w:r>
      <w:r w:rsidRPr="003E3A74">
        <w:rPr>
          <w:rFonts w:ascii="Times New Roman" w:hAnsi="Times New Roman"/>
          <w:sz w:val="28"/>
          <w:szCs w:val="28"/>
        </w:rPr>
        <w:tab/>
      </w:r>
      <w:r w:rsidR="002F7A06" w:rsidRPr="003E3A74">
        <w:rPr>
          <w:rFonts w:ascii="Times New Roman" w:hAnsi="Times New Roman"/>
          <w:sz w:val="28"/>
          <w:szCs w:val="28"/>
        </w:rPr>
        <w:tab/>
      </w:r>
      <w:r w:rsidR="00CE667A">
        <w:rPr>
          <w:rFonts w:ascii="Times New Roman" w:hAnsi="Times New Roman"/>
          <w:sz w:val="20"/>
        </w:rPr>
        <w:t>26</w:t>
      </w:r>
      <w:r w:rsidR="006E5C3B">
        <w:rPr>
          <w:rFonts w:ascii="Times New Roman" w:hAnsi="Times New Roman"/>
          <w:sz w:val="28"/>
          <w:szCs w:val="28"/>
        </w:rPr>
        <w:t xml:space="preserve"> </w:t>
      </w:r>
      <w:r w:rsidR="00A161FF">
        <w:rPr>
          <w:rFonts w:ascii="Times New Roman" w:hAnsi="Times New Roman"/>
          <w:sz w:val="20"/>
        </w:rPr>
        <w:t>lutego</w:t>
      </w:r>
    </w:p>
    <w:p w14:paraId="78E2E118" w14:textId="3FAA8682" w:rsidR="00D746F4" w:rsidRPr="003E3A74" w:rsidRDefault="006E44CF" w:rsidP="00080D7F">
      <w:pPr>
        <w:ind w:firstLine="0"/>
        <w:jc w:val="center"/>
        <w:rPr>
          <w:rFonts w:ascii="Times New Roman" w:hAnsi="Times New Roman"/>
          <w:b/>
          <w:sz w:val="28"/>
          <w:szCs w:val="28"/>
        </w:rPr>
      </w:pPr>
      <w:r>
        <w:rPr>
          <w:rFonts w:ascii="Times New Roman" w:hAnsi="Times New Roman"/>
          <w:b/>
          <w:sz w:val="28"/>
          <w:szCs w:val="28"/>
        </w:rPr>
        <w:t xml:space="preserve">JEZUS, </w:t>
      </w:r>
      <w:r w:rsidR="00CE667A">
        <w:rPr>
          <w:rFonts w:ascii="Times New Roman" w:hAnsi="Times New Roman"/>
          <w:b/>
          <w:sz w:val="28"/>
          <w:szCs w:val="28"/>
        </w:rPr>
        <w:t>DOSKONAŁA OFIARA</w:t>
      </w:r>
    </w:p>
    <w:p w14:paraId="19F1E5AB" w14:textId="3D25616E" w:rsidR="004E40B6" w:rsidRPr="004F76CE" w:rsidRDefault="004E40B6" w:rsidP="0081514B">
      <w:pPr>
        <w:ind w:firstLine="0"/>
        <w:jc w:val="center"/>
        <w:rPr>
          <w:rFonts w:ascii="Times New Roman" w:hAnsi="Times New Roman"/>
          <w:sz w:val="20"/>
        </w:rPr>
      </w:pPr>
    </w:p>
    <w:p w14:paraId="48F86984" w14:textId="77777777" w:rsidR="001A762A" w:rsidRPr="00AC0225" w:rsidRDefault="001A762A" w:rsidP="001A762A">
      <w:pPr>
        <w:rPr>
          <w:rFonts w:ascii="Times New Roman" w:eastAsiaTheme="minorHAnsi" w:hAnsi="Times New Roman"/>
          <w:sz w:val="20"/>
          <w:lang w:eastAsia="en-US"/>
        </w:rPr>
      </w:pPr>
    </w:p>
    <w:p w14:paraId="1E0D9746" w14:textId="77777777" w:rsidR="00CE667A" w:rsidRPr="00AC0225" w:rsidRDefault="00CE667A" w:rsidP="00CE667A">
      <w:pPr>
        <w:rPr>
          <w:rFonts w:ascii="Times New Roman" w:eastAsiaTheme="minorHAnsi" w:hAnsi="Times New Roman"/>
          <w:i/>
          <w:iCs/>
          <w:sz w:val="20"/>
          <w:lang w:eastAsia="en-US"/>
        </w:rPr>
      </w:pPr>
      <w:r w:rsidRPr="00AC0225">
        <w:rPr>
          <w:rFonts w:ascii="Times New Roman" w:eastAsiaTheme="minorHAnsi" w:hAnsi="Times New Roman"/>
          <w:b/>
          <w:bCs/>
          <w:sz w:val="20"/>
          <w:lang w:eastAsia="en-US"/>
        </w:rPr>
        <w:t xml:space="preserve">Zakres studium: </w:t>
      </w:r>
      <w:r w:rsidRPr="00AC0225">
        <w:rPr>
          <w:rFonts w:ascii="Times New Roman" w:eastAsiaTheme="minorHAnsi" w:hAnsi="Times New Roman"/>
          <w:iCs/>
          <w:sz w:val="20"/>
          <w:lang w:eastAsia="en-US"/>
        </w:rPr>
        <w:t>Hbr 9,15; Rdz 15,6-21; Jr 34,8-22; Ef 3,14-19; Hbr 7,27; 10,10; 9,22-28.</w:t>
      </w:r>
    </w:p>
    <w:p w14:paraId="0A712516" w14:textId="77777777" w:rsidR="00CE667A" w:rsidRPr="00AC0225" w:rsidRDefault="00CE667A" w:rsidP="00CE667A">
      <w:pPr>
        <w:rPr>
          <w:rFonts w:ascii="Times New Roman" w:eastAsiaTheme="minorHAnsi" w:hAnsi="Times New Roman"/>
          <w:sz w:val="20"/>
          <w:lang w:eastAsia="en-US"/>
        </w:rPr>
      </w:pPr>
    </w:p>
    <w:p w14:paraId="31A86980" w14:textId="77777777" w:rsidR="00CE667A" w:rsidRPr="00AC0225" w:rsidRDefault="00CE667A" w:rsidP="00CE667A">
      <w:pPr>
        <w:rPr>
          <w:rFonts w:ascii="Times New Roman" w:eastAsiaTheme="minorHAnsi" w:hAnsi="Times New Roman"/>
          <w:sz w:val="20"/>
          <w:lang w:eastAsia="en-US"/>
        </w:rPr>
      </w:pPr>
      <w:r w:rsidRPr="00AC0225">
        <w:rPr>
          <w:rFonts w:ascii="Times New Roman" w:eastAsiaTheme="minorHAnsi" w:hAnsi="Times New Roman"/>
          <w:b/>
          <w:sz w:val="20"/>
          <w:lang w:eastAsia="en-US"/>
        </w:rPr>
        <w:t>Część I: Przegląd</w:t>
      </w:r>
    </w:p>
    <w:p w14:paraId="24E4294B" w14:textId="77777777" w:rsidR="00CE667A" w:rsidRPr="00AC0225" w:rsidRDefault="00CE667A" w:rsidP="00CE667A">
      <w:pPr>
        <w:rPr>
          <w:rFonts w:ascii="Times New Roman" w:eastAsiaTheme="minorHAnsi" w:hAnsi="Times New Roman"/>
          <w:sz w:val="20"/>
          <w:lang w:eastAsia="en-US"/>
        </w:rPr>
      </w:pPr>
    </w:p>
    <w:p w14:paraId="6010FB42" w14:textId="77777777" w:rsidR="00CE667A" w:rsidRPr="00AC0225" w:rsidRDefault="00CE667A" w:rsidP="00CE667A">
      <w:pPr>
        <w:rPr>
          <w:rFonts w:ascii="Times New Roman" w:hAnsi="Times New Roman"/>
          <w:sz w:val="20"/>
        </w:rPr>
      </w:pPr>
      <w:r w:rsidRPr="00AC0225">
        <w:rPr>
          <w:rFonts w:ascii="Times New Roman" w:eastAsiaTheme="minorHAnsi" w:hAnsi="Times New Roman"/>
          <w:b/>
          <w:bCs/>
          <w:sz w:val="20"/>
          <w:lang w:val="en-GB" w:eastAsia="en-US"/>
        </w:rPr>
        <w:t xml:space="preserve">Tematy lekcji: </w:t>
      </w:r>
      <w:r w:rsidRPr="00AC0225">
        <w:rPr>
          <w:rFonts w:ascii="Times New Roman" w:hAnsi="Times New Roman"/>
          <w:i/>
          <w:sz w:val="20"/>
        </w:rPr>
        <w:t>List do Hebrajczyków</w:t>
      </w:r>
      <w:r w:rsidRPr="00AC0225">
        <w:rPr>
          <w:rFonts w:ascii="Times New Roman" w:hAnsi="Times New Roman"/>
          <w:sz w:val="20"/>
        </w:rPr>
        <w:t xml:space="preserve"> świadczy jasno, że zastępcza ofiara Jezusa jest niezbędna dla naszego zbawienia, gdyż „</w:t>
      </w:r>
      <w:r w:rsidRPr="00AC0225">
        <w:rPr>
          <w:rFonts w:ascii="Times New Roman" w:eastAsiaTheme="minorHAnsi" w:hAnsi="Times New Roman"/>
          <w:color w:val="000000"/>
          <w:sz w:val="20"/>
          <w:lang w:eastAsia="en-US"/>
        </w:rPr>
        <w:t>bez rozlania krwi nie ma odpuszczenia</w:t>
      </w:r>
      <w:r w:rsidRPr="00AC0225">
        <w:rPr>
          <w:rFonts w:ascii="Times New Roman" w:hAnsi="Times New Roman"/>
          <w:sz w:val="20"/>
        </w:rPr>
        <w:t xml:space="preserve">” </w:t>
      </w:r>
      <w:r w:rsidRPr="00AC0225">
        <w:rPr>
          <w:rFonts w:ascii="Times New Roman" w:eastAsiaTheme="minorHAnsi" w:hAnsi="Times New Roman"/>
          <w:iCs/>
          <w:sz w:val="20"/>
          <w:lang w:val="en-GB" w:eastAsia="en-US"/>
        </w:rPr>
        <w:t>(Hbr 9,22)</w:t>
      </w:r>
      <w:r w:rsidRPr="00AC0225">
        <w:rPr>
          <w:rFonts w:ascii="Times New Roman" w:hAnsi="Times New Roman"/>
          <w:sz w:val="20"/>
        </w:rPr>
        <w:t>. Krew oznacza życie ofiary. Wymóg śmierci przestępcy prawa Bożego został spełniony przez Jezusa, który umarł raz na zawsze za wszystkich, jako ofiara za całą ludzkość.</w:t>
      </w:r>
    </w:p>
    <w:p w14:paraId="06840B17" w14:textId="77777777" w:rsidR="00CE667A" w:rsidRPr="00AC0225" w:rsidRDefault="00CE667A" w:rsidP="00CE667A">
      <w:pPr>
        <w:rPr>
          <w:rFonts w:ascii="Times New Roman" w:hAnsi="Times New Roman"/>
          <w:sz w:val="20"/>
        </w:rPr>
      </w:pPr>
      <w:r w:rsidRPr="00AC0225">
        <w:rPr>
          <w:rFonts w:ascii="Times New Roman" w:hAnsi="Times New Roman"/>
          <w:i/>
          <w:sz w:val="20"/>
        </w:rPr>
        <w:t>Stary Testament</w:t>
      </w:r>
      <w:r w:rsidRPr="00AC0225">
        <w:rPr>
          <w:rFonts w:ascii="Times New Roman" w:hAnsi="Times New Roman"/>
          <w:sz w:val="20"/>
        </w:rPr>
        <w:t xml:space="preserve"> przedstawia więcej niż jeden rodzaj ofiar. </w:t>
      </w:r>
      <w:r w:rsidRPr="00AC0225">
        <w:rPr>
          <w:rFonts w:ascii="Times New Roman" w:hAnsi="Times New Roman"/>
          <w:i/>
          <w:sz w:val="20"/>
        </w:rPr>
        <w:t>Księga Kapłańska</w:t>
      </w:r>
      <w:r w:rsidRPr="00AC0225">
        <w:rPr>
          <w:rFonts w:ascii="Times New Roman" w:hAnsi="Times New Roman"/>
          <w:sz w:val="20"/>
        </w:rPr>
        <w:t xml:space="preserve"> wymienia ofiary całopalne dla pojednania, ofiary z pokarmów jako wyraz wdzięczności za Bożą opiekę, ofiary wspólnoty jako wspólne posiłki z bliskimi i przyjaciółmi, ofiary zagrzeszne dla odpuszczenia grzechów w przypadkach nieumyślnych grzechów oraz ofiary zadośćuczynne w przypadku naprawienia krzywd </w:t>
      </w:r>
      <w:r w:rsidRPr="00AC0225">
        <w:rPr>
          <w:rFonts w:ascii="Times New Roman" w:eastAsiaTheme="minorHAnsi" w:hAnsi="Times New Roman"/>
          <w:iCs/>
          <w:sz w:val="20"/>
          <w:lang w:val="en-GB" w:eastAsia="en-US"/>
        </w:rPr>
        <w:t>(zob. Kpł 1-6)</w:t>
      </w:r>
      <w:r w:rsidRPr="00AC0225">
        <w:rPr>
          <w:rFonts w:ascii="Times New Roman" w:hAnsi="Times New Roman"/>
          <w:sz w:val="20"/>
        </w:rPr>
        <w:t xml:space="preserve">. Jak wskazuje Paweł, wszystkie te ofiary, w tym także te składane w Dniu Pojednania, były ostatecznie nieskuteczne, gdyż nigdy nie mogły zadośćuczynić za grzechy </w:t>
      </w:r>
      <w:r w:rsidRPr="00AC0225">
        <w:rPr>
          <w:rFonts w:ascii="Times New Roman" w:eastAsiaTheme="minorHAnsi" w:hAnsi="Times New Roman"/>
          <w:iCs/>
          <w:sz w:val="20"/>
          <w:lang w:val="en-GB" w:eastAsia="en-US"/>
        </w:rPr>
        <w:t>(Hbr 10,1-4)</w:t>
      </w:r>
      <w:r w:rsidRPr="00AC0225">
        <w:rPr>
          <w:rFonts w:ascii="Times New Roman" w:hAnsi="Times New Roman"/>
          <w:sz w:val="20"/>
        </w:rPr>
        <w:t xml:space="preserve">. Jedynie bezcenna „krew Chrystusa”, na którą wskazywały wszystkie ofairy, może tego dokonać </w:t>
      </w:r>
      <w:r w:rsidRPr="00AC0225">
        <w:rPr>
          <w:rFonts w:ascii="Times New Roman" w:eastAsiaTheme="minorHAnsi" w:hAnsi="Times New Roman"/>
          <w:iCs/>
          <w:sz w:val="20"/>
          <w:lang w:val="en-GB" w:eastAsia="en-US"/>
        </w:rPr>
        <w:t>(Hbr 9,14; 1 P 1,19)</w:t>
      </w:r>
      <w:r w:rsidRPr="00AC0225">
        <w:rPr>
          <w:rFonts w:ascii="Times New Roman" w:hAnsi="Times New Roman"/>
          <w:sz w:val="20"/>
        </w:rPr>
        <w:t>.</w:t>
      </w:r>
    </w:p>
    <w:p w14:paraId="12AA2B5A" w14:textId="77777777" w:rsidR="00CE667A" w:rsidRPr="00AC0225" w:rsidRDefault="00CE667A" w:rsidP="00CE667A">
      <w:pPr>
        <w:rPr>
          <w:rFonts w:ascii="Times New Roman" w:hAnsi="Times New Roman"/>
          <w:sz w:val="20"/>
        </w:rPr>
      </w:pPr>
    </w:p>
    <w:p w14:paraId="254DE5CD" w14:textId="77777777" w:rsidR="00CE667A" w:rsidRPr="00AC0225" w:rsidRDefault="00CE667A" w:rsidP="00CE667A">
      <w:pPr>
        <w:rPr>
          <w:rFonts w:ascii="Times New Roman" w:eastAsiaTheme="minorHAnsi" w:hAnsi="Times New Roman"/>
          <w:sz w:val="20"/>
          <w:lang w:eastAsia="en-US"/>
        </w:rPr>
      </w:pPr>
      <w:r w:rsidRPr="00AC0225">
        <w:rPr>
          <w:rFonts w:ascii="Times New Roman" w:eastAsiaTheme="minorHAnsi" w:hAnsi="Times New Roman"/>
          <w:b/>
          <w:sz w:val="20"/>
          <w:lang w:eastAsia="en-US"/>
        </w:rPr>
        <w:t>Część II: Komentarz</w:t>
      </w:r>
    </w:p>
    <w:p w14:paraId="3875B59A" w14:textId="77777777" w:rsidR="00CE667A" w:rsidRPr="00AC0225" w:rsidRDefault="00CE667A" w:rsidP="00CE667A">
      <w:pPr>
        <w:rPr>
          <w:rFonts w:ascii="Times New Roman" w:eastAsiaTheme="minorHAnsi" w:hAnsi="Times New Roman"/>
          <w:sz w:val="20"/>
          <w:lang w:eastAsia="en-US"/>
        </w:rPr>
      </w:pPr>
    </w:p>
    <w:p w14:paraId="16C49D67" w14:textId="60FC454E" w:rsidR="00CE667A" w:rsidRPr="00AC0225" w:rsidRDefault="00CE667A" w:rsidP="00CE667A">
      <w:pPr>
        <w:rPr>
          <w:rFonts w:ascii="Times New Roman" w:hAnsi="Times New Roman"/>
          <w:sz w:val="20"/>
        </w:rPr>
      </w:pPr>
      <w:r w:rsidRPr="00AC0225">
        <w:rPr>
          <w:rFonts w:ascii="Times New Roman" w:hAnsi="Times New Roman"/>
          <w:sz w:val="20"/>
        </w:rPr>
        <w:t>Jak zauważyliśmy w poprzedniej lekcji, Hbr 7 mówi o Melchisedeku, który był większy od kapłanów z</w:t>
      </w:r>
      <w:r w:rsidR="00DB4758">
        <w:rPr>
          <w:rFonts w:ascii="Times New Roman" w:hAnsi="Times New Roman"/>
          <w:sz w:val="20"/>
        </w:rPr>
        <w:t> </w:t>
      </w:r>
      <w:r w:rsidRPr="00AC0225">
        <w:rPr>
          <w:rFonts w:ascii="Times New Roman" w:hAnsi="Times New Roman"/>
          <w:sz w:val="20"/>
        </w:rPr>
        <w:t>rodu Aarona. Tak więc Chrystus jest większy od lewickich kapłanów, gdyż jest Kapłanem według porządku Melchisedeka. Hbr 8 mówi o wyższości drugiego przymierza, którego skuteczność jest omówiona dalej w</w:t>
      </w:r>
      <w:r w:rsidR="00DB4758">
        <w:rPr>
          <w:rFonts w:ascii="Times New Roman" w:hAnsi="Times New Roman"/>
          <w:sz w:val="20"/>
        </w:rPr>
        <w:t> </w:t>
      </w:r>
      <w:r w:rsidRPr="00AC0225">
        <w:rPr>
          <w:rFonts w:ascii="Times New Roman" w:hAnsi="Times New Roman"/>
          <w:sz w:val="20"/>
        </w:rPr>
        <w:t xml:space="preserve">Hbr 9,15. Pierwsze przymierze, ustanowione z Lewitami, było wadliwe i nie mogło usunąć grzechów </w:t>
      </w:r>
      <w:r w:rsidRPr="00AC0225">
        <w:rPr>
          <w:rFonts w:ascii="Times New Roman" w:eastAsiaTheme="minorHAnsi" w:hAnsi="Times New Roman"/>
          <w:iCs/>
          <w:sz w:val="20"/>
          <w:lang w:val="en-GB" w:eastAsia="en-US"/>
        </w:rPr>
        <w:t>(Hbr 7,11; 9,9)</w:t>
      </w:r>
      <w:r w:rsidRPr="00AC0225">
        <w:rPr>
          <w:rFonts w:ascii="Times New Roman" w:hAnsi="Times New Roman"/>
          <w:sz w:val="20"/>
        </w:rPr>
        <w:t>.</w:t>
      </w:r>
    </w:p>
    <w:p w14:paraId="0FD744B3" w14:textId="77777777" w:rsidR="00CE667A" w:rsidRPr="00AC0225" w:rsidRDefault="00CE667A" w:rsidP="00CE667A">
      <w:pPr>
        <w:rPr>
          <w:rFonts w:ascii="Times New Roman" w:hAnsi="Times New Roman"/>
          <w:sz w:val="20"/>
        </w:rPr>
      </w:pPr>
      <w:r w:rsidRPr="00AC0225">
        <w:rPr>
          <w:rFonts w:ascii="Times New Roman" w:hAnsi="Times New Roman"/>
          <w:sz w:val="20"/>
        </w:rPr>
        <w:t xml:space="preserve">W Hbr 9 Paweł mówi także o lepszej ofierze Chrystusa. Dlaczego jest ona lepsza? Po pierwsze, Jego ofiara nie jest stosowana w ziemskiej świątyni, ale w niebiańskiej </w:t>
      </w:r>
      <w:r w:rsidRPr="00AC0225">
        <w:rPr>
          <w:rFonts w:ascii="Times New Roman" w:eastAsiaTheme="minorHAnsi" w:hAnsi="Times New Roman"/>
          <w:iCs/>
          <w:sz w:val="20"/>
          <w:lang w:val="en-GB" w:eastAsia="en-US"/>
        </w:rPr>
        <w:t>(Hbr 9,23-24)</w:t>
      </w:r>
      <w:r w:rsidRPr="00AC0225">
        <w:rPr>
          <w:rFonts w:ascii="Times New Roman" w:hAnsi="Times New Roman"/>
          <w:sz w:val="20"/>
        </w:rPr>
        <w:t xml:space="preserve">. Po drugie, krew ofiarowana przez niego nie pochodzi ze zwierząt, ale jest Jego krwią </w:t>
      </w:r>
      <w:r w:rsidRPr="00AC0225">
        <w:rPr>
          <w:rFonts w:ascii="Times New Roman" w:eastAsiaTheme="minorHAnsi" w:hAnsi="Times New Roman"/>
          <w:iCs/>
          <w:sz w:val="20"/>
          <w:lang w:val="en-GB" w:eastAsia="en-US"/>
        </w:rPr>
        <w:t>(Hbr 9,25-26)</w:t>
      </w:r>
      <w:r w:rsidRPr="00AC0225">
        <w:rPr>
          <w:rFonts w:ascii="Times New Roman" w:hAnsi="Times New Roman"/>
          <w:sz w:val="20"/>
        </w:rPr>
        <w:t xml:space="preserve">. Wreszcie, ofiara Chrystusa jest wyjątkowo pojedyncza </w:t>
      </w:r>
      <w:r w:rsidRPr="00AC0225">
        <w:rPr>
          <w:rFonts w:ascii="Times New Roman" w:eastAsiaTheme="minorHAnsi" w:hAnsi="Times New Roman"/>
          <w:sz w:val="20"/>
          <w:lang w:val="en-GB" w:eastAsia="en-US"/>
        </w:rPr>
        <w:t>(</w:t>
      </w:r>
      <w:r w:rsidRPr="00AC0225">
        <w:rPr>
          <w:rFonts w:ascii="Times New Roman" w:eastAsiaTheme="minorHAnsi" w:hAnsi="Times New Roman"/>
          <w:iCs/>
          <w:sz w:val="20"/>
          <w:lang w:val="en-GB" w:eastAsia="en-US"/>
        </w:rPr>
        <w:t>Hbr 9,12.28,</w:t>
      </w:r>
      <w:r w:rsidRPr="00AC0225">
        <w:rPr>
          <w:rFonts w:ascii="Times New Roman" w:eastAsiaTheme="minorHAnsi" w:hAnsi="Times New Roman"/>
          <w:i/>
          <w:iCs/>
          <w:sz w:val="20"/>
          <w:lang w:val="en-GB" w:eastAsia="en-US"/>
        </w:rPr>
        <w:t xml:space="preserve"> </w:t>
      </w:r>
      <w:r w:rsidRPr="00AC0225">
        <w:rPr>
          <w:rFonts w:ascii="Times New Roman" w:eastAsiaTheme="minorHAnsi" w:hAnsi="Times New Roman"/>
          <w:sz w:val="20"/>
          <w:lang w:val="en-GB" w:eastAsia="en-US"/>
        </w:rPr>
        <w:t>„</w:t>
      </w:r>
      <w:r w:rsidRPr="00AC0225">
        <w:rPr>
          <w:rFonts w:ascii="Times New Roman" w:eastAsiaTheme="minorHAnsi" w:hAnsi="Times New Roman"/>
          <w:color w:val="000000"/>
          <w:sz w:val="20"/>
          <w:lang w:eastAsia="en-US"/>
        </w:rPr>
        <w:t>raz na zawsze</w:t>
      </w:r>
      <w:r w:rsidRPr="00AC0225">
        <w:rPr>
          <w:rFonts w:ascii="Times New Roman" w:eastAsiaTheme="minorHAnsi" w:hAnsi="Times New Roman"/>
          <w:sz w:val="20"/>
          <w:lang w:val="en-GB" w:eastAsia="en-US"/>
        </w:rPr>
        <w:t xml:space="preserve">”) </w:t>
      </w:r>
      <w:r w:rsidRPr="00AC0225">
        <w:rPr>
          <w:rFonts w:ascii="Times New Roman" w:hAnsi="Times New Roman"/>
          <w:sz w:val="20"/>
        </w:rPr>
        <w:t xml:space="preserve">i skuteczna </w:t>
      </w:r>
      <w:r w:rsidRPr="00AC0225">
        <w:rPr>
          <w:rFonts w:ascii="Times New Roman" w:eastAsiaTheme="minorHAnsi" w:hAnsi="Times New Roman"/>
          <w:sz w:val="20"/>
          <w:lang w:val="en-GB" w:eastAsia="en-US"/>
        </w:rPr>
        <w:t>(</w:t>
      </w:r>
      <w:r w:rsidRPr="00AC0225">
        <w:rPr>
          <w:rFonts w:ascii="Times New Roman" w:eastAsiaTheme="minorHAnsi" w:hAnsi="Times New Roman"/>
          <w:iCs/>
          <w:sz w:val="20"/>
          <w:lang w:val="en-GB" w:eastAsia="en-US"/>
        </w:rPr>
        <w:t>Hbr 9,14,</w:t>
      </w:r>
      <w:r w:rsidRPr="00AC0225">
        <w:rPr>
          <w:rFonts w:ascii="Times New Roman" w:eastAsiaTheme="minorHAnsi" w:hAnsi="Times New Roman"/>
          <w:sz w:val="20"/>
          <w:lang w:val="en-GB" w:eastAsia="en-US"/>
        </w:rPr>
        <w:t xml:space="preserve"> „</w:t>
      </w:r>
      <w:r w:rsidRPr="00AC0225">
        <w:rPr>
          <w:rFonts w:ascii="Times New Roman" w:eastAsiaTheme="minorHAnsi" w:hAnsi="Times New Roman"/>
          <w:color w:val="000000"/>
          <w:sz w:val="20"/>
          <w:lang w:eastAsia="en-US"/>
        </w:rPr>
        <w:t>oczyści sumienie nasze</w:t>
      </w:r>
      <w:r w:rsidRPr="00AC0225">
        <w:rPr>
          <w:rFonts w:ascii="Times New Roman" w:eastAsiaTheme="minorHAnsi" w:hAnsi="Times New Roman"/>
          <w:sz w:val="20"/>
          <w:lang w:val="en-GB" w:eastAsia="en-US"/>
        </w:rPr>
        <w:t xml:space="preserve">”; </w:t>
      </w:r>
      <w:r w:rsidRPr="00AC0225">
        <w:rPr>
          <w:rFonts w:ascii="Times New Roman" w:eastAsiaTheme="minorHAnsi" w:hAnsi="Times New Roman"/>
          <w:iCs/>
          <w:sz w:val="20"/>
          <w:lang w:val="en-GB" w:eastAsia="en-US"/>
        </w:rPr>
        <w:t>Hbr 10,14,</w:t>
      </w:r>
      <w:r w:rsidRPr="00AC0225">
        <w:rPr>
          <w:rFonts w:ascii="Times New Roman" w:eastAsiaTheme="minorHAnsi" w:hAnsi="Times New Roman"/>
          <w:sz w:val="20"/>
          <w:lang w:val="en-GB" w:eastAsia="en-US"/>
        </w:rPr>
        <w:t xml:space="preserve"> „</w:t>
      </w:r>
      <w:r w:rsidRPr="00AC0225">
        <w:rPr>
          <w:rFonts w:ascii="Times New Roman" w:eastAsiaTheme="minorHAnsi" w:hAnsi="Times New Roman"/>
          <w:color w:val="000000"/>
          <w:sz w:val="20"/>
          <w:lang w:eastAsia="en-US"/>
        </w:rPr>
        <w:t>uczynił na zawsze doskonałymi</w:t>
      </w:r>
      <w:r w:rsidRPr="00AC0225">
        <w:rPr>
          <w:rFonts w:ascii="Times New Roman" w:eastAsiaTheme="minorHAnsi" w:hAnsi="Times New Roman"/>
          <w:sz w:val="20"/>
          <w:lang w:val="en-GB" w:eastAsia="en-US"/>
        </w:rPr>
        <w:t>”)</w:t>
      </w:r>
      <w:r w:rsidRPr="00AC0225">
        <w:rPr>
          <w:rFonts w:ascii="Times New Roman" w:hAnsi="Times New Roman"/>
          <w:sz w:val="20"/>
        </w:rPr>
        <w:t xml:space="preserve">, w przeciwieństwie do ofiar ze zwierząt </w:t>
      </w:r>
      <w:r w:rsidRPr="00AC0225">
        <w:rPr>
          <w:rFonts w:ascii="Times New Roman" w:eastAsiaTheme="minorHAnsi" w:hAnsi="Times New Roman"/>
          <w:iCs/>
          <w:sz w:val="20"/>
          <w:lang w:val="en-GB" w:eastAsia="en-US"/>
        </w:rPr>
        <w:t>(Hbr 10,1.4)</w:t>
      </w:r>
      <w:r w:rsidRPr="00AC0225">
        <w:rPr>
          <w:rFonts w:ascii="Times New Roman" w:hAnsi="Times New Roman"/>
          <w:sz w:val="20"/>
        </w:rPr>
        <w:t>.</w:t>
      </w:r>
    </w:p>
    <w:p w14:paraId="5073370E" w14:textId="77777777" w:rsidR="00CE667A" w:rsidRPr="00AC0225" w:rsidRDefault="00CE667A" w:rsidP="00CE667A">
      <w:pPr>
        <w:rPr>
          <w:rFonts w:ascii="Times New Roman" w:hAnsi="Times New Roman"/>
          <w:sz w:val="20"/>
        </w:rPr>
      </w:pPr>
    </w:p>
    <w:p w14:paraId="6F13FE7B" w14:textId="77777777" w:rsidR="00CE667A" w:rsidRPr="00AC0225" w:rsidRDefault="00CE667A" w:rsidP="00CE667A">
      <w:pPr>
        <w:rPr>
          <w:rFonts w:ascii="Times New Roman" w:hAnsi="Times New Roman"/>
          <w:sz w:val="20"/>
        </w:rPr>
      </w:pPr>
      <w:r w:rsidRPr="00AC0225">
        <w:rPr>
          <w:rFonts w:ascii="Times New Roman" w:hAnsi="Times New Roman"/>
          <w:b/>
          <w:sz w:val="20"/>
        </w:rPr>
        <w:t>Dylemat ołtarza kadzidlanego w miejscu najświętszym</w:t>
      </w:r>
    </w:p>
    <w:p w14:paraId="6D16B230" w14:textId="7BB88E43" w:rsidR="00CE667A" w:rsidRPr="00AC0225" w:rsidRDefault="00CE667A" w:rsidP="00CE667A">
      <w:pPr>
        <w:rPr>
          <w:rFonts w:ascii="Times New Roman" w:hAnsi="Times New Roman"/>
          <w:sz w:val="20"/>
        </w:rPr>
      </w:pPr>
      <w:r w:rsidRPr="00AC0225">
        <w:rPr>
          <w:rFonts w:ascii="Times New Roman" w:hAnsi="Times New Roman"/>
          <w:sz w:val="20"/>
        </w:rPr>
        <w:t>Hbr 9 wydaje się zawierać sprzeczność. W wersetach 3-4 czytamy: „</w:t>
      </w:r>
      <w:r w:rsidRPr="00AC0225">
        <w:rPr>
          <w:rFonts w:ascii="Times New Roman" w:eastAsiaTheme="minorHAnsi" w:hAnsi="Times New Roman"/>
          <w:color w:val="000000"/>
          <w:sz w:val="20"/>
          <w:lang w:eastAsia="en-US"/>
        </w:rPr>
        <w:t>za drugą zaś zasłoną był przybytek, zwany miejscem najświętszym, mieszczący złotą kadzielnicę i Skrzynię Przymierza, pokrytą zewsząd złotem</w:t>
      </w:r>
      <w:r w:rsidRPr="00AC0225">
        <w:rPr>
          <w:rFonts w:ascii="Times New Roman" w:hAnsi="Times New Roman"/>
          <w:sz w:val="20"/>
        </w:rPr>
        <w:t>”. Ten tekst wydaje się sprzeczny z Wj 30,6: „</w:t>
      </w:r>
      <w:r w:rsidRPr="00AC0225">
        <w:rPr>
          <w:rFonts w:ascii="Times New Roman" w:eastAsiaTheme="minorHAnsi" w:hAnsi="Times New Roman"/>
          <w:color w:val="000000"/>
          <w:sz w:val="20"/>
          <w:lang w:eastAsia="en-US"/>
        </w:rPr>
        <w:t>Umieścisz go [ołtarz kadzidlany] przed zasłoną</w:t>
      </w:r>
      <w:r w:rsidRPr="00AC0225">
        <w:rPr>
          <w:rFonts w:ascii="Times New Roman" w:hAnsi="Times New Roman"/>
          <w:sz w:val="20"/>
        </w:rPr>
        <w:t>”, który wskazuje, że ołtarz kadzidlany nie znajdował się w miejscu najświętszym, ale w miejscu świętym, wraz ze świecznikiem i</w:t>
      </w:r>
      <w:r w:rsidR="00DB4758">
        <w:rPr>
          <w:rFonts w:ascii="Times New Roman" w:hAnsi="Times New Roman"/>
          <w:sz w:val="20"/>
        </w:rPr>
        <w:t> </w:t>
      </w:r>
      <w:r w:rsidRPr="00AC0225">
        <w:rPr>
          <w:rFonts w:ascii="Times New Roman" w:hAnsi="Times New Roman"/>
          <w:sz w:val="20"/>
        </w:rPr>
        <w:t>stołem chlebów pokładnych. Przy tym ołtarzu kadzidlanym Aaron miał spalać kadzidło „k</w:t>
      </w:r>
      <w:r w:rsidRPr="00AC0225">
        <w:rPr>
          <w:rFonts w:ascii="Times New Roman" w:eastAsiaTheme="minorHAnsi" w:hAnsi="Times New Roman"/>
          <w:color w:val="000000"/>
          <w:sz w:val="20"/>
          <w:lang w:eastAsia="en-US"/>
        </w:rPr>
        <w:t>ażdego poranka</w:t>
      </w:r>
      <w:r w:rsidRPr="00AC0225">
        <w:rPr>
          <w:rFonts w:ascii="Times New Roman" w:hAnsi="Times New Roman"/>
          <w:sz w:val="20"/>
        </w:rPr>
        <w:t xml:space="preserve">” </w:t>
      </w:r>
      <w:r w:rsidRPr="00AC0225">
        <w:rPr>
          <w:rFonts w:ascii="Times New Roman" w:eastAsiaTheme="minorHAnsi" w:hAnsi="Times New Roman"/>
          <w:iCs/>
          <w:sz w:val="20"/>
          <w:lang w:val="en-GB" w:eastAsia="en-US"/>
        </w:rPr>
        <w:t>(Wj 30,7)</w:t>
      </w:r>
      <w:r w:rsidRPr="00AC0225">
        <w:rPr>
          <w:rFonts w:ascii="Times New Roman" w:hAnsi="Times New Roman"/>
          <w:sz w:val="20"/>
        </w:rPr>
        <w:t xml:space="preserve">. Podobnie inne fragmenty </w:t>
      </w:r>
      <w:r w:rsidRPr="00AC0225">
        <w:rPr>
          <w:rFonts w:ascii="Times New Roman" w:hAnsi="Times New Roman"/>
          <w:i/>
          <w:sz w:val="20"/>
        </w:rPr>
        <w:t>Pięcioksięgu</w:t>
      </w:r>
      <w:r w:rsidRPr="00AC0225">
        <w:rPr>
          <w:rFonts w:ascii="Times New Roman" w:hAnsi="Times New Roman"/>
          <w:sz w:val="20"/>
        </w:rPr>
        <w:t xml:space="preserve"> umieszczają ołtarz kadzidlany w miejscu świętym, a nie miejscu najświętszym </w:t>
      </w:r>
      <w:r w:rsidRPr="00AC0225">
        <w:rPr>
          <w:rFonts w:ascii="Times New Roman" w:eastAsiaTheme="minorHAnsi" w:hAnsi="Times New Roman"/>
          <w:iCs/>
          <w:sz w:val="20"/>
          <w:lang w:val="en-GB" w:eastAsia="en-US"/>
        </w:rPr>
        <w:t>(Wj 40,5.26)</w:t>
      </w:r>
      <w:r w:rsidRPr="00AC0225">
        <w:rPr>
          <w:rFonts w:ascii="Times New Roman" w:hAnsi="Times New Roman"/>
          <w:sz w:val="20"/>
        </w:rPr>
        <w:t>. Dlaczego Paweł umieszcza złoty ołtarz kadzidlany w miejscu najświętszym?</w:t>
      </w:r>
    </w:p>
    <w:p w14:paraId="1ABEBEDF" w14:textId="77777777" w:rsidR="00CE667A" w:rsidRPr="00AC0225" w:rsidRDefault="00CE667A" w:rsidP="00CE667A">
      <w:pPr>
        <w:rPr>
          <w:rFonts w:ascii="Times New Roman" w:hAnsi="Times New Roman"/>
          <w:sz w:val="20"/>
        </w:rPr>
      </w:pPr>
      <w:r w:rsidRPr="00AC0225">
        <w:rPr>
          <w:rFonts w:ascii="Times New Roman" w:hAnsi="Times New Roman"/>
          <w:sz w:val="20"/>
        </w:rPr>
        <w:t>Jak możemy wytłumaczyć tę pozorną anomalię?</w:t>
      </w:r>
    </w:p>
    <w:p w14:paraId="22AD25FD" w14:textId="77777777" w:rsidR="00CE667A" w:rsidRPr="00AC0225" w:rsidRDefault="00CE667A" w:rsidP="00CE667A">
      <w:pPr>
        <w:rPr>
          <w:rFonts w:ascii="Times New Roman" w:hAnsi="Times New Roman"/>
          <w:sz w:val="20"/>
        </w:rPr>
      </w:pPr>
      <w:r w:rsidRPr="00AC0225">
        <w:rPr>
          <w:rFonts w:ascii="Times New Roman" w:hAnsi="Times New Roman"/>
          <w:sz w:val="20"/>
        </w:rPr>
        <w:t xml:space="preserve">Być może Paweł myślał następująco: „Choć znajdował się w głównym pomieszczeniu (tzn. w miejscu świętym), ołtarz kadzidlany </w:t>
      </w:r>
      <w:r w:rsidRPr="00AC0225">
        <w:rPr>
          <w:rFonts w:ascii="Times New Roman" w:eastAsiaTheme="minorHAnsi" w:hAnsi="Times New Roman"/>
          <w:sz w:val="20"/>
          <w:lang w:val="en-GB" w:eastAsia="en-US"/>
        </w:rPr>
        <w:t xml:space="preserve">(por. Wj 30,1-10; 1 Krn 28,18) </w:t>
      </w:r>
      <w:r w:rsidRPr="00AC0225">
        <w:rPr>
          <w:rFonts w:ascii="Times New Roman" w:hAnsi="Times New Roman"/>
          <w:sz w:val="20"/>
        </w:rPr>
        <w:t xml:space="preserve">«należał do </w:t>
      </w:r>
      <w:r w:rsidRPr="00AC0225">
        <w:rPr>
          <w:rFonts w:ascii="Times New Roman" w:hAnsi="Times New Roman"/>
          <w:i/>
          <w:sz w:val="20"/>
        </w:rPr>
        <w:t>debir</w:t>
      </w:r>
      <w:r w:rsidRPr="00AC0225">
        <w:rPr>
          <w:rFonts w:ascii="Times New Roman" w:hAnsi="Times New Roman"/>
          <w:sz w:val="20"/>
        </w:rPr>
        <w:t xml:space="preserve">» (miejsca najświętszego). Wydaje się, że rytuał spalania kadzidła dokonywany na tym ołtarzu miał bezpośredni wpływ na miejsce najświętsze, gdzie Bóg przejawiał swoją obecność między cherubinami. W końcu, dym kadzidła najpewniej przenikał do wewnętrznego pomieszczenia. To może wyjaśniać, dlaczego </w:t>
      </w:r>
      <w:r w:rsidRPr="00AC0225">
        <w:rPr>
          <w:rFonts w:ascii="Times New Roman" w:hAnsi="Times New Roman"/>
          <w:i/>
          <w:sz w:val="20"/>
        </w:rPr>
        <w:t>List do Hebrajczyków</w:t>
      </w:r>
      <w:r w:rsidRPr="00AC0225">
        <w:rPr>
          <w:rFonts w:ascii="Times New Roman" w:hAnsi="Times New Roman"/>
          <w:sz w:val="20"/>
        </w:rPr>
        <w:t xml:space="preserve"> umieszcza ołtarz kadzidlany w miejscu najświętszym </w:t>
      </w:r>
      <w:r w:rsidRPr="00AC0225">
        <w:rPr>
          <w:rFonts w:ascii="Times New Roman" w:eastAsiaTheme="minorHAnsi" w:hAnsi="Times New Roman"/>
          <w:sz w:val="20"/>
          <w:lang w:val="en-GB" w:eastAsia="en-US"/>
        </w:rPr>
        <w:t>(Hbr 9,4)</w:t>
      </w:r>
      <w:r w:rsidRPr="00AC0225">
        <w:rPr>
          <w:rFonts w:ascii="Times New Roman" w:hAnsi="Times New Roman"/>
          <w:sz w:val="20"/>
        </w:rPr>
        <w:t>” (</w:t>
      </w:r>
      <w:r w:rsidRPr="00AC0225">
        <w:rPr>
          <w:rFonts w:ascii="Times New Roman" w:eastAsiaTheme="minorHAnsi" w:hAnsi="Times New Roman"/>
          <w:i/>
          <w:iCs/>
          <w:sz w:val="20"/>
          <w:lang w:val="en-GB" w:eastAsia="en-US"/>
        </w:rPr>
        <w:t>The Seventh-day Adventist International Bible Commentary</w:t>
      </w:r>
      <w:r w:rsidRPr="00AC0225">
        <w:rPr>
          <w:rFonts w:ascii="Times New Roman" w:eastAsiaTheme="minorHAnsi" w:hAnsi="Times New Roman"/>
          <w:iCs/>
          <w:sz w:val="20"/>
          <w:lang w:val="en-GB" w:eastAsia="en-US"/>
        </w:rPr>
        <w:t>,</w:t>
      </w:r>
      <w:r w:rsidRPr="00AC0225">
        <w:rPr>
          <w:rFonts w:ascii="Times New Roman" w:eastAsiaTheme="minorHAnsi" w:hAnsi="Times New Roman"/>
          <w:i/>
          <w:iCs/>
          <w:sz w:val="20"/>
          <w:lang w:val="en-GB" w:eastAsia="en-US"/>
        </w:rPr>
        <w:t xml:space="preserve"> </w:t>
      </w:r>
      <w:r w:rsidRPr="00AC0225">
        <w:rPr>
          <w:rFonts w:ascii="Times New Roman" w:eastAsiaTheme="minorHAnsi" w:hAnsi="Times New Roman"/>
          <w:sz w:val="20"/>
          <w:lang w:val="en-GB" w:eastAsia="en-US"/>
        </w:rPr>
        <w:t>komentarz do Hbr 9,4</w:t>
      </w:r>
      <w:r w:rsidRPr="00AC0225">
        <w:rPr>
          <w:rFonts w:ascii="Times New Roman" w:hAnsi="Times New Roman"/>
          <w:sz w:val="20"/>
        </w:rPr>
        <w:t>).</w:t>
      </w:r>
    </w:p>
    <w:p w14:paraId="67971E7E" w14:textId="77777777" w:rsidR="00CE667A" w:rsidRPr="00AC0225" w:rsidRDefault="00CE667A" w:rsidP="00CE667A">
      <w:pPr>
        <w:rPr>
          <w:rFonts w:ascii="Times New Roman" w:hAnsi="Times New Roman"/>
          <w:sz w:val="20"/>
        </w:rPr>
      </w:pPr>
      <w:r w:rsidRPr="00AC0225">
        <w:rPr>
          <w:rFonts w:ascii="Times New Roman" w:hAnsi="Times New Roman"/>
          <w:sz w:val="20"/>
        </w:rPr>
        <w:t xml:space="preserve">Należy także zauważyć, że w oryginale autor </w:t>
      </w:r>
      <w:r w:rsidRPr="00AC0225">
        <w:rPr>
          <w:rFonts w:ascii="Times New Roman" w:hAnsi="Times New Roman"/>
          <w:i/>
          <w:sz w:val="20"/>
        </w:rPr>
        <w:t>Listu do Hebrajczyków</w:t>
      </w:r>
      <w:r w:rsidRPr="00AC0225">
        <w:rPr>
          <w:rFonts w:ascii="Times New Roman" w:hAnsi="Times New Roman"/>
          <w:sz w:val="20"/>
        </w:rPr>
        <w:t xml:space="preserve"> nie twierdzi, że ołtarz kadzidlany </w:t>
      </w:r>
      <w:r w:rsidRPr="00AC0225">
        <w:rPr>
          <w:rFonts w:ascii="Times New Roman" w:hAnsi="Times New Roman"/>
          <w:i/>
          <w:sz w:val="20"/>
        </w:rPr>
        <w:t>stał</w:t>
      </w:r>
      <w:r w:rsidRPr="00AC0225">
        <w:rPr>
          <w:rFonts w:ascii="Times New Roman" w:hAnsi="Times New Roman"/>
          <w:sz w:val="20"/>
        </w:rPr>
        <w:t xml:space="preserve"> w drugim pomieszczeniu, ale że miejsce najświętsze „miało” ołtarz. Słowo przetłumaczone jako „miało” może oznaczać „mieściło”, ale nie jest to jedynie ani konieczne znaczenie.</w:t>
      </w:r>
    </w:p>
    <w:p w14:paraId="2B79C1D5" w14:textId="77777777" w:rsidR="00CE667A" w:rsidRPr="00AC0225" w:rsidRDefault="00CE667A" w:rsidP="00CE667A">
      <w:pPr>
        <w:rPr>
          <w:rFonts w:ascii="Times New Roman" w:hAnsi="Times New Roman"/>
          <w:sz w:val="20"/>
        </w:rPr>
      </w:pPr>
      <w:r w:rsidRPr="00AC0225">
        <w:rPr>
          <w:rFonts w:ascii="Times New Roman" w:hAnsi="Times New Roman"/>
          <w:sz w:val="20"/>
        </w:rPr>
        <w:t>„Wskazane tutaj powiązanie między ołtarzem i miejscem najświętszym może wynikać z tego, że jego funkcja była ściśle związana z miejscem najświętszym. Kadzidło spalane codziennie na tym ołtarzu przenikało do tronu łaski w miejscu najświętszym. Tam Bóg przejawiał swoją obecność między cherubinami, a kiedy kadzidło wznosiło się wraz z modlitwami wyznawców, wypełniało miejsce najświętsze podobnie jak miejsce święte. Zasłona dzieląca dwa pomieszczenia nie sięgała sufitu, ale była zawieszona poniżej niego. Tak więc kadzidło mogło być ofiarowane w miejscu świętym - jedynym, do którego mogli wchodzić zwykli kapłani - ale docierało do drugiego pomieszczenia, do którego było kierowane” (</w:t>
      </w:r>
      <w:r w:rsidRPr="00AC0225">
        <w:rPr>
          <w:rFonts w:ascii="Times New Roman" w:eastAsiaTheme="minorHAnsi" w:hAnsi="Times New Roman"/>
          <w:i/>
          <w:iCs/>
          <w:sz w:val="20"/>
          <w:lang w:val="en-GB" w:eastAsia="en-US"/>
        </w:rPr>
        <w:t>Seventh-day Adventist Bible Commentary</w:t>
      </w:r>
      <w:r w:rsidRPr="00AC0225">
        <w:rPr>
          <w:rFonts w:ascii="Times New Roman" w:eastAsiaTheme="minorHAnsi" w:hAnsi="Times New Roman"/>
          <w:iCs/>
          <w:sz w:val="20"/>
          <w:lang w:val="en-GB" w:eastAsia="en-US"/>
        </w:rPr>
        <w:t>,</w:t>
      </w:r>
      <w:r w:rsidRPr="00AC0225">
        <w:rPr>
          <w:rFonts w:ascii="Times New Roman" w:eastAsiaTheme="minorHAnsi" w:hAnsi="Times New Roman"/>
          <w:i/>
          <w:iCs/>
          <w:sz w:val="20"/>
          <w:lang w:val="en-GB" w:eastAsia="en-US"/>
        </w:rPr>
        <w:t xml:space="preserve"> </w:t>
      </w:r>
      <w:r w:rsidRPr="00AC0225">
        <w:rPr>
          <w:rFonts w:ascii="Times New Roman" w:eastAsiaTheme="minorHAnsi" w:hAnsi="Times New Roman"/>
          <w:sz w:val="20"/>
          <w:lang w:val="en-GB" w:eastAsia="en-US"/>
        </w:rPr>
        <w:t>t. 7, s. 449</w:t>
      </w:r>
      <w:r w:rsidRPr="00AC0225">
        <w:rPr>
          <w:rFonts w:ascii="Times New Roman" w:hAnsi="Times New Roman"/>
          <w:sz w:val="20"/>
        </w:rPr>
        <w:t>).</w:t>
      </w:r>
    </w:p>
    <w:p w14:paraId="790DDE18" w14:textId="77777777" w:rsidR="00CE667A" w:rsidRPr="00AC0225" w:rsidRDefault="00CE667A" w:rsidP="00CE667A">
      <w:pPr>
        <w:rPr>
          <w:rFonts w:ascii="Times New Roman" w:hAnsi="Times New Roman"/>
          <w:sz w:val="20"/>
        </w:rPr>
      </w:pPr>
      <w:r w:rsidRPr="00AC0225">
        <w:rPr>
          <w:rFonts w:ascii="Times New Roman" w:hAnsi="Times New Roman"/>
          <w:sz w:val="20"/>
        </w:rPr>
        <w:lastRenderedPageBreak/>
        <w:t>Po drugie, słowo użyte przez Pawła, oznaczające „ołtarz” (</w:t>
      </w:r>
      <w:r w:rsidRPr="00AC0225">
        <w:rPr>
          <w:rFonts w:ascii="Times New Roman" w:eastAsiaTheme="minorHAnsi" w:hAnsi="Times New Roman"/>
          <w:i/>
          <w:iCs/>
          <w:sz w:val="20"/>
          <w:lang w:val="en-GB" w:eastAsia="en-US"/>
        </w:rPr>
        <w:t>thymiat</w:t>
      </w:r>
      <w:r w:rsidRPr="00AC0225">
        <w:rPr>
          <w:rFonts w:ascii="Times New Roman" w:eastAsiaTheme="minorHAnsi" w:hAnsi="Times New Roman"/>
          <w:i/>
          <w:sz w:val="20"/>
          <w:lang w:val="en-GB" w:eastAsia="en-US"/>
        </w:rPr>
        <w:t>ē</w:t>
      </w:r>
      <w:r w:rsidRPr="00AC0225">
        <w:rPr>
          <w:rFonts w:ascii="Times New Roman" w:eastAsiaTheme="minorHAnsi" w:hAnsi="Times New Roman"/>
          <w:i/>
          <w:iCs/>
          <w:sz w:val="20"/>
          <w:lang w:val="en-GB" w:eastAsia="en-US"/>
        </w:rPr>
        <w:t>rion</w:t>
      </w:r>
      <w:r w:rsidRPr="00AC0225">
        <w:rPr>
          <w:rFonts w:ascii="Times New Roman" w:hAnsi="Times New Roman"/>
          <w:sz w:val="20"/>
        </w:rPr>
        <w:t xml:space="preserve">) jest używane w </w:t>
      </w:r>
      <w:r w:rsidRPr="00AC0225">
        <w:rPr>
          <w:rFonts w:ascii="Times New Roman" w:hAnsi="Times New Roman"/>
          <w:i/>
          <w:sz w:val="20"/>
        </w:rPr>
        <w:t>Septuagincie</w:t>
      </w:r>
      <w:r w:rsidRPr="00AC0225">
        <w:rPr>
          <w:rFonts w:ascii="Times New Roman" w:hAnsi="Times New Roman"/>
          <w:sz w:val="20"/>
        </w:rPr>
        <w:t xml:space="preserve">, greckim przekładzie </w:t>
      </w:r>
      <w:r w:rsidRPr="00AC0225">
        <w:rPr>
          <w:rFonts w:ascii="Times New Roman" w:hAnsi="Times New Roman"/>
          <w:i/>
          <w:sz w:val="20"/>
        </w:rPr>
        <w:t>Starego Testamentu</w:t>
      </w:r>
      <w:r w:rsidRPr="00AC0225">
        <w:rPr>
          <w:rFonts w:ascii="Times New Roman" w:hAnsi="Times New Roman"/>
          <w:sz w:val="20"/>
        </w:rPr>
        <w:t xml:space="preserve">, na oznaczenie samej kadzielnicy </w:t>
      </w:r>
      <w:r w:rsidRPr="00AC0225">
        <w:rPr>
          <w:rFonts w:ascii="Times New Roman" w:eastAsiaTheme="minorHAnsi" w:hAnsi="Times New Roman"/>
          <w:iCs/>
          <w:sz w:val="20"/>
          <w:lang w:val="en-GB" w:eastAsia="en-US"/>
        </w:rPr>
        <w:t>(2 Krn 26,19; Ez 8,11)</w:t>
      </w:r>
      <w:r w:rsidRPr="00AC0225">
        <w:rPr>
          <w:rFonts w:ascii="Times New Roman" w:hAnsi="Times New Roman"/>
          <w:sz w:val="20"/>
        </w:rPr>
        <w:t xml:space="preserve">. Arcykapłan wnosił tę kadzielnicę do miejsca najświętszego w Dniu Pojednania </w:t>
      </w:r>
      <w:r w:rsidRPr="00AC0225">
        <w:rPr>
          <w:rFonts w:ascii="Times New Roman" w:eastAsiaTheme="minorHAnsi" w:hAnsi="Times New Roman"/>
          <w:iCs/>
          <w:sz w:val="20"/>
          <w:lang w:val="en-GB" w:eastAsia="en-US"/>
        </w:rPr>
        <w:t>(Kpł 16,12)</w:t>
      </w:r>
      <w:r w:rsidRPr="00AC0225">
        <w:rPr>
          <w:rFonts w:ascii="Times New Roman" w:hAnsi="Times New Roman"/>
          <w:sz w:val="20"/>
        </w:rPr>
        <w:t>.</w:t>
      </w:r>
    </w:p>
    <w:p w14:paraId="240E3721" w14:textId="53732169" w:rsidR="00CE667A" w:rsidRPr="00AC0225" w:rsidRDefault="00CE667A" w:rsidP="00CE667A">
      <w:pPr>
        <w:rPr>
          <w:rFonts w:ascii="Times New Roman" w:hAnsi="Times New Roman"/>
          <w:sz w:val="20"/>
        </w:rPr>
      </w:pPr>
      <w:r w:rsidRPr="00AC0225">
        <w:rPr>
          <w:rFonts w:ascii="Times New Roman" w:hAnsi="Times New Roman"/>
          <w:sz w:val="20"/>
        </w:rPr>
        <w:t>W każdym razie, Paweł wydaje się nie skupiać uwagi na pomieszczeniach ani wyposażeniu, gdyż w</w:t>
      </w:r>
      <w:r w:rsidR="009D4E4A">
        <w:rPr>
          <w:rFonts w:ascii="Times New Roman" w:hAnsi="Times New Roman"/>
          <w:sz w:val="20"/>
        </w:rPr>
        <w:t> </w:t>
      </w:r>
      <w:r w:rsidRPr="00AC0225">
        <w:rPr>
          <w:rFonts w:ascii="Times New Roman" w:hAnsi="Times New Roman"/>
          <w:sz w:val="20"/>
        </w:rPr>
        <w:t>wersecie 5 mówi: „</w:t>
      </w:r>
      <w:r w:rsidRPr="00AC0225">
        <w:rPr>
          <w:rFonts w:ascii="Times New Roman" w:eastAsiaTheme="minorHAnsi" w:hAnsi="Times New Roman"/>
          <w:color w:val="000000"/>
          <w:sz w:val="20"/>
          <w:lang w:eastAsia="en-US"/>
        </w:rPr>
        <w:t>o czym teraz nie ma potrzeby szczegółowo mówić</w:t>
      </w:r>
      <w:r w:rsidRPr="00AC0225">
        <w:rPr>
          <w:rFonts w:ascii="Times New Roman" w:hAnsi="Times New Roman"/>
          <w:sz w:val="20"/>
        </w:rPr>
        <w:t>”. Ten werset wskazuje, że ważniejsze niż wyposażenie i jego umiejscowienie jest to, co Paweł podkreśla przez odwołanie do nich, mianowicie, wyższość ofiary Chrystusa.</w:t>
      </w:r>
    </w:p>
    <w:p w14:paraId="5065C2EE" w14:textId="77777777" w:rsidR="00CE667A" w:rsidRPr="00AC0225" w:rsidRDefault="00CE667A" w:rsidP="00CE667A">
      <w:pPr>
        <w:rPr>
          <w:rFonts w:ascii="Times New Roman" w:hAnsi="Times New Roman"/>
          <w:sz w:val="20"/>
        </w:rPr>
      </w:pPr>
      <w:r w:rsidRPr="00AC0225">
        <w:rPr>
          <w:rFonts w:ascii="Times New Roman" w:hAnsi="Times New Roman"/>
          <w:sz w:val="20"/>
        </w:rPr>
        <w:t>„Kadzidło, wznoszące się wraz z modlitwami Izraela, symbolizuje zasługi i wstawiennictwo Chrystusa, Jego doskonałą sprawiedliwość, która przez wiarę jest udzielana Jego ludowi i dzięki której cześć ze strony grzesznych istot może zostać przyjęta przez Boga. Przed zasłoną miejsca najświętszego znajdował się ołtarz nieustannego wstawiennictwa, przed miejscem świętym ołtarz nieustannego pojednania. Przez krew i kadzidło można było się przybliżyć do Boga — symbole, wskazujące na wielkiego Pośrednika, przez którego grzesznicy mogą przyjść do Jahwe. Jedynie przez Niego miłosierdzie i zbawienie mogą zostać darowane skruszonemu, wierzącemu człowiekowi” (</w:t>
      </w:r>
      <w:r w:rsidRPr="00AC0225">
        <w:rPr>
          <w:rFonts w:ascii="Times New Roman" w:eastAsiaTheme="minorHAnsi" w:hAnsi="Times New Roman"/>
          <w:sz w:val="20"/>
          <w:lang w:val="en-GB" w:eastAsia="en-US"/>
        </w:rPr>
        <w:t xml:space="preserve">Ellen G. White, </w:t>
      </w:r>
      <w:r w:rsidRPr="00AC0225">
        <w:rPr>
          <w:rFonts w:ascii="Times New Roman" w:eastAsiaTheme="minorHAnsi" w:hAnsi="Times New Roman"/>
          <w:i/>
          <w:iCs/>
          <w:sz w:val="20"/>
          <w:lang w:val="en-GB" w:eastAsia="en-US"/>
        </w:rPr>
        <w:t>Wybrańcy Boga</w:t>
      </w:r>
      <w:r w:rsidRPr="00AC0225">
        <w:rPr>
          <w:rFonts w:ascii="Times New Roman" w:eastAsiaTheme="minorHAnsi" w:hAnsi="Times New Roman"/>
          <w:iCs/>
          <w:sz w:val="20"/>
          <w:lang w:val="en-GB" w:eastAsia="en-US"/>
        </w:rPr>
        <w:t xml:space="preserve">, wyd. 2, Warszawa 2018, s. </w:t>
      </w:r>
      <w:r w:rsidRPr="00AC0225">
        <w:rPr>
          <w:rFonts w:ascii="Times New Roman" w:eastAsiaTheme="minorHAnsi" w:hAnsi="Times New Roman"/>
          <w:sz w:val="20"/>
          <w:lang w:val="en-GB" w:eastAsia="en-US"/>
        </w:rPr>
        <w:t>255-256</w:t>
      </w:r>
      <w:r w:rsidRPr="00AC0225">
        <w:rPr>
          <w:rFonts w:ascii="Times New Roman" w:hAnsi="Times New Roman"/>
          <w:sz w:val="20"/>
        </w:rPr>
        <w:t>).</w:t>
      </w:r>
    </w:p>
    <w:p w14:paraId="6AF40B69" w14:textId="77777777" w:rsidR="00CE667A" w:rsidRPr="00AC0225" w:rsidRDefault="00CE667A" w:rsidP="00CE667A">
      <w:pPr>
        <w:rPr>
          <w:rFonts w:ascii="Times New Roman" w:hAnsi="Times New Roman"/>
          <w:sz w:val="20"/>
        </w:rPr>
      </w:pPr>
    </w:p>
    <w:p w14:paraId="2F66AB04" w14:textId="77777777" w:rsidR="00CE667A" w:rsidRPr="00AC0225" w:rsidRDefault="00CE667A" w:rsidP="00CE667A">
      <w:pPr>
        <w:rPr>
          <w:rFonts w:ascii="Times New Roman" w:hAnsi="Times New Roman"/>
          <w:sz w:val="20"/>
        </w:rPr>
      </w:pPr>
      <w:r w:rsidRPr="00AC0225">
        <w:rPr>
          <w:rFonts w:ascii="Times New Roman" w:hAnsi="Times New Roman"/>
          <w:b/>
          <w:sz w:val="20"/>
        </w:rPr>
        <w:t>Zastępcza śmierć Chrystusa</w:t>
      </w:r>
    </w:p>
    <w:p w14:paraId="10BB7346" w14:textId="77777777" w:rsidR="00CE667A" w:rsidRPr="00AC0225" w:rsidRDefault="00CE667A" w:rsidP="00CE667A">
      <w:pPr>
        <w:rPr>
          <w:rFonts w:ascii="Times New Roman" w:hAnsi="Times New Roman"/>
          <w:sz w:val="20"/>
        </w:rPr>
      </w:pPr>
      <w:r w:rsidRPr="00AC0225">
        <w:rPr>
          <w:rFonts w:ascii="Times New Roman" w:hAnsi="Times New Roman"/>
          <w:sz w:val="20"/>
        </w:rPr>
        <w:t>Zastępstwo i zadośćuczynienie to dwa terminy, które budzą sporo krytycyzmu. Dlaczego Bóg potrzebował jakiegoś rodzaju zastępstwa dla ukarania grzechów ludzkości? Co oznacza to zastępstwo? Zastępstwo w tym kontekście oznacza, że ktoś zajmuje miejsce kogoś innego, aby ponieść za niego karę w celu zbawienia go od niej.</w:t>
      </w:r>
    </w:p>
    <w:p w14:paraId="02420E77" w14:textId="77777777" w:rsidR="00CE667A" w:rsidRPr="00AC0225" w:rsidRDefault="00CE667A" w:rsidP="00CE667A">
      <w:pPr>
        <w:rPr>
          <w:rFonts w:ascii="Times New Roman" w:hAnsi="Times New Roman"/>
          <w:sz w:val="20"/>
        </w:rPr>
      </w:pPr>
      <w:r w:rsidRPr="00AC0225">
        <w:rPr>
          <w:rFonts w:ascii="Times New Roman" w:hAnsi="Times New Roman"/>
          <w:sz w:val="20"/>
        </w:rPr>
        <w:t xml:space="preserve">Co do drugiego terminu, zadośćuczynienia, musimy zapytać: Co wymagało zadośćuczynienia? Czy </w:t>
      </w:r>
      <w:r w:rsidRPr="00AC0225">
        <w:rPr>
          <w:rFonts w:ascii="Times New Roman" w:hAnsi="Times New Roman"/>
          <w:i/>
          <w:sz w:val="20"/>
        </w:rPr>
        <w:t>Biblia</w:t>
      </w:r>
      <w:r w:rsidRPr="00AC0225">
        <w:rPr>
          <w:rFonts w:ascii="Times New Roman" w:hAnsi="Times New Roman"/>
          <w:sz w:val="20"/>
        </w:rPr>
        <w:t xml:space="preserve"> popiera koncepcję zastępczej śmierci? Zastępstwo występuje w przypadku Abrahama. Kiedy udał się na Górę Moria, by ofiarować swojego syna Izaaka, „</w:t>
      </w:r>
      <w:r w:rsidRPr="00AC0225">
        <w:rPr>
          <w:rFonts w:ascii="Times New Roman" w:eastAsiaTheme="minorHAnsi" w:hAnsi="Times New Roman"/>
          <w:color w:val="000000"/>
          <w:sz w:val="20"/>
          <w:lang w:eastAsia="en-US"/>
        </w:rPr>
        <w:t xml:space="preserve">poszedł tedy Abraham, a wziąwszy barana, złożył go na całopalenie </w:t>
      </w:r>
      <w:r w:rsidRPr="00AC0225">
        <w:rPr>
          <w:rFonts w:ascii="Times New Roman" w:eastAsiaTheme="minorHAnsi" w:hAnsi="Times New Roman"/>
          <w:b/>
          <w:color w:val="000000"/>
          <w:sz w:val="20"/>
          <w:lang w:eastAsia="en-US"/>
        </w:rPr>
        <w:t>zamiast</w:t>
      </w:r>
      <w:r w:rsidRPr="00AC0225">
        <w:rPr>
          <w:rFonts w:ascii="Times New Roman" w:eastAsiaTheme="minorHAnsi" w:hAnsi="Times New Roman"/>
          <w:color w:val="000000"/>
          <w:sz w:val="20"/>
          <w:lang w:eastAsia="en-US"/>
        </w:rPr>
        <w:t xml:space="preserve"> syna swego</w:t>
      </w:r>
      <w:r w:rsidRPr="00AC0225">
        <w:rPr>
          <w:rFonts w:ascii="Times New Roman" w:hAnsi="Times New Roman"/>
          <w:sz w:val="20"/>
        </w:rPr>
        <w:t xml:space="preserve">” </w:t>
      </w:r>
      <w:r w:rsidRPr="00AC0225">
        <w:rPr>
          <w:rFonts w:ascii="Times New Roman" w:eastAsiaTheme="minorHAnsi" w:hAnsi="Times New Roman"/>
          <w:iCs/>
          <w:sz w:val="20"/>
          <w:lang w:val="en-GB" w:eastAsia="en-US"/>
        </w:rPr>
        <w:t>(Rdz 22,13)</w:t>
      </w:r>
      <w:r w:rsidRPr="00AC0225">
        <w:rPr>
          <w:rFonts w:ascii="Times New Roman" w:hAnsi="Times New Roman"/>
          <w:sz w:val="20"/>
        </w:rPr>
        <w:t xml:space="preserve">. W narracji Paschy życie zostało ocalone przez zastępstwo. Jedynymi ocalonymi pierworodnymi byli ci, których rodziny ofiarowały baranka i oznaczyły drzwi jego krwią </w:t>
      </w:r>
      <w:r w:rsidRPr="00AC0225">
        <w:rPr>
          <w:rFonts w:ascii="Times New Roman" w:eastAsiaTheme="minorHAnsi" w:hAnsi="Times New Roman"/>
          <w:iCs/>
          <w:sz w:val="20"/>
          <w:lang w:val="en-GB" w:eastAsia="en-US"/>
        </w:rPr>
        <w:t>(Wj 12,7.13)</w:t>
      </w:r>
      <w:r w:rsidRPr="00AC0225">
        <w:rPr>
          <w:rFonts w:ascii="Times New Roman" w:hAnsi="Times New Roman"/>
          <w:sz w:val="20"/>
        </w:rPr>
        <w:t xml:space="preserve">. </w:t>
      </w:r>
      <w:r w:rsidRPr="00AC0225">
        <w:rPr>
          <w:rFonts w:ascii="Times New Roman" w:hAnsi="Times New Roman"/>
          <w:i/>
          <w:sz w:val="20"/>
        </w:rPr>
        <w:t>Cały system ofiarniczy był oparty na zastępstwie</w:t>
      </w:r>
      <w:r w:rsidRPr="00AC0225">
        <w:rPr>
          <w:rFonts w:ascii="Times New Roman" w:hAnsi="Times New Roman"/>
          <w:sz w:val="20"/>
        </w:rPr>
        <w:t xml:space="preserve">. Ponieważ karą za grzech jest śmierć, zastępcze zwierzę było zabijane, dzięki czemu życie było darowane grzesznikowi </w:t>
      </w:r>
      <w:r w:rsidRPr="00AC0225">
        <w:rPr>
          <w:rFonts w:ascii="Times New Roman" w:eastAsiaTheme="minorHAnsi" w:hAnsi="Times New Roman"/>
          <w:iCs/>
          <w:sz w:val="20"/>
          <w:lang w:val="en-GB" w:eastAsia="en-US"/>
        </w:rPr>
        <w:t>(Kpł 17,11)</w:t>
      </w:r>
      <w:r w:rsidRPr="00AC0225">
        <w:rPr>
          <w:rFonts w:ascii="Times New Roman" w:hAnsi="Times New Roman"/>
          <w:sz w:val="20"/>
        </w:rPr>
        <w:t>.</w:t>
      </w:r>
    </w:p>
    <w:p w14:paraId="3B318A07" w14:textId="02D5AC77" w:rsidR="00CE667A" w:rsidRPr="00AC0225" w:rsidRDefault="00CE667A" w:rsidP="00CE667A">
      <w:pPr>
        <w:rPr>
          <w:rFonts w:ascii="Times New Roman" w:hAnsi="Times New Roman"/>
          <w:sz w:val="20"/>
        </w:rPr>
      </w:pPr>
      <w:r w:rsidRPr="00AC0225">
        <w:rPr>
          <w:rFonts w:ascii="Times New Roman" w:hAnsi="Times New Roman"/>
          <w:sz w:val="20"/>
        </w:rPr>
        <w:t xml:space="preserve">Sięgając do </w:t>
      </w:r>
      <w:r w:rsidRPr="00AC0225">
        <w:rPr>
          <w:rFonts w:ascii="Times New Roman" w:hAnsi="Times New Roman"/>
          <w:i/>
          <w:sz w:val="20"/>
        </w:rPr>
        <w:t>Nowego Testamentu</w:t>
      </w:r>
      <w:r w:rsidRPr="00AC0225">
        <w:rPr>
          <w:rFonts w:ascii="Times New Roman" w:hAnsi="Times New Roman"/>
          <w:sz w:val="20"/>
        </w:rPr>
        <w:t>, dowiadujemy się, że Jan Chrzciciel zidentyfikował Jezusa jako „</w:t>
      </w:r>
      <w:r w:rsidRPr="00AC0225">
        <w:rPr>
          <w:rFonts w:ascii="Times New Roman" w:eastAsiaTheme="minorHAnsi" w:hAnsi="Times New Roman"/>
          <w:color w:val="000000"/>
          <w:sz w:val="20"/>
          <w:lang w:eastAsia="en-US"/>
        </w:rPr>
        <w:t xml:space="preserve">Baranka Bożego, który </w:t>
      </w:r>
      <w:r w:rsidRPr="00AC0225">
        <w:rPr>
          <w:rFonts w:ascii="Times New Roman" w:eastAsiaTheme="minorHAnsi" w:hAnsi="Times New Roman"/>
          <w:b/>
          <w:color w:val="000000"/>
          <w:sz w:val="20"/>
          <w:lang w:eastAsia="en-US"/>
        </w:rPr>
        <w:t>gładzi</w:t>
      </w:r>
      <w:r w:rsidRPr="00AC0225">
        <w:rPr>
          <w:rFonts w:ascii="Times New Roman" w:eastAsiaTheme="minorHAnsi" w:hAnsi="Times New Roman"/>
          <w:color w:val="000000"/>
          <w:sz w:val="20"/>
          <w:lang w:eastAsia="en-US"/>
        </w:rPr>
        <w:t xml:space="preserve"> grzech świata</w:t>
      </w:r>
      <w:r w:rsidRPr="00AC0225">
        <w:rPr>
          <w:rFonts w:ascii="Times New Roman" w:hAnsi="Times New Roman"/>
          <w:sz w:val="20"/>
        </w:rPr>
        <w:t xml:space="preserve">” </w:t>
      </w:r>
      <w:r w:rsidRPr="00AC0225">
        <w:rPr>
          <w:rFonts w:ascii="Times New Roman" w:eastAsiaTheme="minorHAnsi" w:hAnsi="Times New Roman"/>
          <w:iCs/>
          <w:sz w:val="20"/>
          <w:lang w:val="en-GB" w:eastAsia="en-US"/>
        </w:rPr>
        <w:t>(J 1,29)</w:t>
      </w:r>
      <w:r w:rsidRPr="00AC0225">
        <w:rPr>
          <w:rFonts w:ascii="Times New Roman" w:hAnsi="Times New Roman"/>
          <w:sz w:val="20"/>
        </w:rPr>
        <w:t>. Paweł oświadczył: „</w:t>
      </w:r>
      <w:r w:rsidRPr="00AC0225">
        <w:rPr>
          <w:rFonts w:ascii="Times New Roman" w:eastAsiaTheme="minorHAnsi" w:hAnsi="Times New Roman"/>
          <w:color w:val="000000"/>
          <w:sz w:val="20"/>
          <w:lang w:eastAsia="en-US"/>
        </w:rPr>
        <w:t>Chrystus bowiem został złożony w ofierze jako nasza Pascha</w:t>
      </w:r>
      <w:r w:rsidRPr="00AC0225">
        <w:rPr>
          <w:rFonts w:ascii="Times New Roman" w:hAnsi="Times New Roman"/>
          <w:sz w:val="20"/>
        </w:rPr>
        <w:t xml:space="preserve">” </w:t>
      </w:r>
      <w:r w:rsidRPr="00AC0225">
        <w:rPr>
          <w:rFonts w:ascii="Times New Roman" w:eastAsiaTheme="minorHAnsi" w:hAnsi="Times New Roman"/>
          <w:iCs/>
          <w:sz w:val="20"/>
          <w:lang w:val="en-GB" w:eastAsia="en-US"/>
        </w:rPr>
        <w:t>(1 Kor 5,7 BT)</w:t>
      </w:r>
      <w:r w:rsidRPr="00AC0225">
        <w:rPr>
          <w:rFonts w:ascii="Times New Roman" w:hAnsi="Times New Roman"/>
          <w:sz w:val="20"/>
        </w:rPr>
        <w:t xml:space="preserve">. W </w:t>
      </w:r>
      <w:r w:rsidRPr="00AC0225">
        <w:rPr>
          <w:rFonts w:ascii="Times New Roman" w:hAnsi="Times New Roman"/>
          <w:i/>
          <w:sz w:val="20"/>
        </w:rPr>
        <w:t>Liście do Efezjan</w:t>
      </w:r>
      <w:r w:rsidRPr="00AC0225">
        <w:rPr>
          <w:rFonts w:ascii="Times New Roman" w:hAnsi="Times New Roman"/>
          <w:sz w:val="20"/>
        </w:rPr>
        <w:t xml:space="preserve"> Paweł mówi wprost: „</w:t>
      </w:r>
      <w:r w:rsidRPr="00AC0225">
        <w:rPr>
          <w:rFonts w:ascii="Times New Roman" w:eastAsiaTheme="minorHAnsi" w:hAnsi="Times New Roman"/>
          <w:color w:val="000000"/>
          <w:sz w:val="20"/>
          <w:lang w:eastAsia="en-US"/>
        </w:rPr>
        <w:t xml:space="preserve">Chrystus was umiłował i </w:t>
      </w:r>
      <w:r w:rsidRPr="00AC0225">
        <w:rPr>
          <w:rFonts w:ascii="Times New Roman" w:eastAsiaTheme="minorHAnsi" w:hAnsi="Times New Roman"/>
          <w:b/>
          <w:color w:val="000000"/>
          <w:sz w:val="20"/>
          <w:lang w:eastAsia="en-US"/>
        </w:rPr>
        <w:t>samego siebie wydał za nas</w:t>
      </w:r>
      <w:r w:rsidRPr="00AC0225">
        <w:rPr>
          <w:rFonts w:ascii="Times New Roman" w:eastAsiaTheme="minorHAnsi" w:hAnsi="Times New Roman"/>
          <w:color w:val="000000"/>
          <w:sz w:val="20"/>
          <w:lang w:eastAsia="en-US"/>
        </w:rPr>
        <w:t xml:space="preserve"> w ofierze i dani na wdzięczną wonność Bogu</w:t>
      </w:r>
      <w:r w:rsidRPr="00AC0225">
        <w:rPr>
          <w:rFonts w:ascii="Times New Roman" w:hAnsi="Times New Roman"/>
          <w:sz w:val="20"/>
        </w:rPr>
        <w:t xml:space="preserve">” </w:t>
      </w:r>
      <w:r w:rsidRPr="00AC0225">
        <w:rPr>
          <w:rFonts w:ascii="Times New Roman" w:eastAsiaTheme="minorHAnsi" w:hAnsi="Times New Roman"/>
          <w:iCs/>
          <w:sz w:val="20"/>
          <w:lang w:val="en-GB" w:eastAsia="en-US"/>
        </w:rPr>
        <w:t>(Ef 5,2)</w:t>
      </w:r>
      <w:r w:rsidRPr="00AC0225">
        <w:rPr>
          <w:rFonts w:ascii="Times New Roman" w:hAnsi="Times New Roman"/>
          <w:sz w:val="20"/>
        </w:rPr>
        <w:t xml:space="preserve">. W </w:t>
      </w:r>
      <w:r w:rsidRPr="00AC0225">
        <w:rPr>
          <w:rFonts w:ascii="Times New Roman" w:hAnsi="Times New Roman"/>
          <w:i/>
          <w:sz w:val="20"/>
        </w:rPr>
        <w:t>Liście do Rzymian</w:t>
      </w:r>
      <w:r w:rsidRPr="00AC0225">
        <w:rPr>
          <w:rFonts w:ascii="Times New Roman" w:hAnsi="Times New Roman"/>
          <w:sz w:val="20"/>
        </w:rPr>
        <w:t xml:space="preserve"> stwierdza: „</w:t>
      </w:r>
      <w:r w:rsidRPr="00AC0225">
        <w:rPr>
          <w:rFonts w:ascii="Times New Roman" w:eastAsiaTheme="minorHAnsi" w:hAnsi="Times New Roman"/>
          <w:color w:val="000000"/>
          <w:sz w:val="20"/>
          <w:lang w:eastAsia="en-US"/>
        </w:rPr>
        <w:t xml:space="preserve">kiedy byliśmy jeszcze grzesznikami, </w:t>
      </w:r>
      <w:r w:rsidRPr="00AC0225">
        <w:rPr>
          <w:rFonts w:ascii="Times New Roman" w:eastAsiaTheme="minorHAnsi" w:hAnsi="Times New Roman"/>
          <w:b/>
          <w:color w:val="000000"/>
          <w:sz w:val="20"/>
          <w:lang w:eastAsia="en-US"/>
        </w:rPr>
        <w:t>Chrystus za nas umarł</w:t>
      </w:r>
      <w:r w:rsidRPr="00AC0225">
        <w:rPr>
          <w:rFonts w:ascii="Times New Roman" w:hAnsi="Times New Roman"/>
          <w:sz w:val="20"/>
        </w:rPr>
        <w:t xml:space="preserve">” </w:t>
      </w:r>
      <w:r w:rsidRPr="00AC0225">
        <w:rPr>
          <w:rFonts w:ascii="Times New Roman" w:eastAsiaTheme="minorHAnsi" w:hAnsi="Times New Roman"/>
          <w:iCs/>
          <w:sz w:val="20"/>
          <w:lang w:val="en-GB" w:eastAsia="en-US"/>
        </w:rPr>
        <w:t>(Rz 5,8)</w:t>
      </w:r>
      <w:r w:rsidRPr="00AC0225">
        <w:rPr>
          <w:rFonts w:ascii="Times New Roman" w:hAnsi="Times New Roman"/>
          <w:sz w:val="20"/>
        </w:rPr>
        <w:t xml:space="preserve">. </w:t>
      </w:r>
      <w:r w:rsidRPr="00AC0225">
        <w:rPr>
          <w:rFonts w:ascii="Times New Roman" w:hAnsi="Times New Roman"/>
          <w:i/>
          <w:sz w:val="20"/>
        </w:rPr>
        <w:t>Biblia</w:t>
      </w:r>
      <w:r w:rsidRPr="00AC0225">
        <w:rPr>
          <w:rFonts w:ascii="Times New Roman" w:hAnsi="Times New Roman"/>
          <w:sz w:val="20"/>
        </w:rPr>
        <w:t xml:space="preserve"> jest pełna języka zastępstwa i poniesienia grzechu. (Zob. np. </w:t>
      </w:r>
      <w:r w:rsidRPr="00AC0225">
        <w:rPr>
          <w:rFonts w:ascii="Times New Roman" w:eastAsiaTheme="minorHAnsi" w:hAnsi="Times New Roman"/>
          <w:iCs/>
          <w:sz w:val="20"/>
          <w:lang w:val="en-GB" w:eastAsia="en-US"/>
        </w:rPr>
        <w:t>Iz 53,12; Mk 10,45; 2 Kor 5,14; 1 Tm 2,6; Hbr 9,28; 1 P 2,24)</w:t>
      </w:r>
      <w:r w:rsidRPr="00AC0225">
        <w:rPr>
          <w:rFonts w:ascii="Times New Roman" w:hAnsi="Times New Roman"/>
          <w:sz w:val="20"/>
        </w:rPr>
        <w:t xml:space="preserve">. </w:t>
      </w:r>
      <w:r w:rsidRPr="00AC0225">
        <w:rPr>
          <w:rFonts w:ascii="Times New Roman" w:hAnsi="Times New Roman"/>
          <w:i/>
          <w:sz w:val="20"/>
        </w:rPr>
        <w:t>List do Hebrajczyków</w:t>
      </w:r>
      <w:r w:rsidRPr="00AC0225">
        <w:rPr>
          <w:rFonts w:ascii="Times New Roman" w:hAnsi="Times New Roman"/>
          <w:sz w:val="20"/>
        </w:rPr>
        <w:t xml:space="preserve"> wieńczy ten temat niezaprzeczalnym, często przeoczanym stwierdzeniem, że „</w:t>
      </w:r>
      <w:r w:rsidRPr="00AC0225">
        <w:rPr>
          <w:rFonts w:ascii="Times New Roman" w:eastAsiaTheme="minorHAnsi" w:hAnsi="Times New Roman"/>
          <w:color w:val="000000"/>
          <w:sz w:val="20"/>
          <w:lang w:eastAsia="en-US"/>
        </w:rPr>
        <w:t>bez rozlania krwi nie ma odpuszczenia</w:t>
      </w:r>
      <w:r w:rsidRPr="00AC0225">
        <w:rPr>
          <w:rFonts w:ascii="Times New Roman" w:hAnsi="Times New Roman"/>
          <w:sz w:val="20"/>
        </w:rPr>
        <w:t xml:space="preserve">” </w:t>
      </w:r>
      <w:r w:rsidRPr="00AC0225">
        <w:rPr>
          <w:rFonts w:ascii="Times New Roman" w:eastAsiaTheme="minorHAnsi" w:hAnsi="Times New Roman"/>
          <w:iCs/>
          <w:sz w:val="20"/>
          <w:lang w:val="en-GB" w:eastAsia="en-US"/>
        </w:rPr>
        <w:t>(Hbr 9,22)</w:t>
      </w:r>
      <w:r w:rsidRPr="00AC0225">
        <w:rPr>
          <w:rFonts w:ascii="Times New Roman" w:hAnsi="Times New Roman"/>
          <w:sz w:val="20"/>
        </w:rPr>
        <w:t>. Jakiej krwi? Nie może to być krew zwierząt, gdyż „</w:t>
      </w:r>
      <w:r w:rsidRPr="00AC0225">
        <w:rPr>
          <w:rFonts w:ascii="Times New Roman" w:eastAsiaTheme="minorHAnsi" w:hAnsi="Times New Roman"/>
          <w:color w:val="000000"/>
          <w:sz w:val="20"/>
          <w:lang w:eastAsia="en-US"/>
        </w:rPr>
        <w:t>jest (...) rzeczą niemożliwą, aby krew wołów i</w:t>
      </w:r>
      <w:r w:rsidR="009D4E4A">
        <w:rPr>
          <w:rFonts w:ascii="Times New Roman" w:eastAsiaTheme="minorHAnsi" w:hAnsi="Times New Roman"/>
          <w:color w:val="000000"/>
          <w:sz w:val="20"/>
          <w:lang w:eastAsia="en-US"/>
        </w:rPr>
        <w:t> </w:t>
      </w:r>
      <w:r w:rsidRPr="00AC0225">
        <w:rPr>
          <w:rFonts w:ascii="Times New Roman" w:eastAsiaTheme="minorHAnsi" w:hAnsi="Times New Roman"/>
          <w:color w:val="000000"/>
          <w:sz w:val="20"/>
          <w:lang w:eastAsia="en-US"/>
        </w:rPr>
        <w:t xml:space="preserve"> kozłów mogła gładzić grzechy</w:t>
      </w:r>
      <w:r w:rsidRPr="00AC0225">
        <w:rPr>
          <w:rFonts w:ascii="Times New Roman" w:hAnsi="Times New Roman"/>
          <w:sz w:val="20"/>
        </w:rPr>
        <w:t xml:space="preserve">” </w:t>
      </w:r>
      <w:r w:rsidRPr="00AC0225">
        <w:rPr>
          <w:rFonts w:ascii="Times New Roman" w:eastAsiaTheme="minorHAnsi" w:hAnsi="Times New Roman"/>
          <w:iCs/>
          <w:sz w:val="20"/>
          <w:lang w:val="en-GB" w:eastAsia="en-US"/>
        </w:rPr>
        <w:t>(Hbr 10,4)</w:t>
      </w:r>
      <w:r w:rsidRPr="00AC0225">
        <w:rPr>
          <w:rFonts w:ascii="Times New Roman" w:hAnsi="Times New Roman"/>
          <w:sz w:val="20"/>
        </w:rPr>
        <w:t>. Zatem musi to być krew - życie - Chrystusa.</w:t>
      </w:r>
    </w:p>
    <w:p w14:paraId="7688FB1E" w14:textId="5A45F33F" w:rsidR="00CE667A" w:rsidRPr="00AC0225" w:rsidRDefault="00CE667A" w:rsidP="00CE667A">
      <w:pPr>
        <w:rPr>
          <w:rFonts w:ascii="Times New Roman" w:hAnsi="Times New Roman"/>
          <w:sz w:val="20"/>
        </w:rPr>
      </w:pPr>
      <w:r w:rsidRPr="00AC0225">
        <w:rPr>
          <w:rFonts w:ascii="Times New Roman" w:hAnsi="Times New Roman"/>
          <w:sz w:val="20"/>
        </w:rPr>
        <w:t>Jezus poniósł nasze grzechy i umarł za nas. Zatem nie możemy postrzegać Chrystusa jako jedynie trzecią stronę, odłączonego od Boga i ludzkości. Taki pogląd byłby rażącym wypaczeniem zrozumienia pojednania. Chrystus byłby przedstawiony jako jedynie uśmierzający negatywne nastawienie Ojca. Bóg byłby ukazany jako karzący niewinnego Jezusa, aby winowajcy ludzie mogli przetrwać. Rozerwana jedność między Ojcem i Synem zostaje w pełni ukazana w wielkim stwierdzeniu Pawła o pojed</w:t>
      </w:r>
      <w:r w:rsidR="009D4E4A">
        <w:rPr>
          <w:rFonts w:ascii="Times New Roman" w:hAnsi="Times New Roman"/>
          <w:sz w:val="20"/>
        </w:rPr>
        <w:t>n</w:t>
      </w:r>
      <w:r w:rsidRPr="00AC0225">
        <w:rPr>
          <w:rFonts w:ascii="Times New Roman" w:hAnsi="Times New Roman"/>
          <w:sz w:val="20"/>
        </w:rPr>
        <w:t>aniu, w którym Ojciec podejmuje działanie za pośrednictwem Syna: „</w:t>
      </w:r>
      <w:r w:rsidRPr="00AC0225">
        <w:rPr>
          <w:rFonts w:ascii="Times New Roman" w:eastAsiaTheme="minorHAnsi" w:hAnsi="Times New Roman"/>
          <w:color w:val="000000"/>
          <w:sz w:val="20"/>
          <w:lang w:eastAsia="en-US"/>
        </w:rPr>
        <w:t>A wszystko to [nowe stworzenie w Chrystusie] jest z Boga, który nas pojednał z sobą przez Chrystusa</w:t>
      </w:r>
      <w:r w:rsidRPr="00AC0225">
        <w:rPr>
          <w:rFonts w:ascii="Times New Roman" w:hAnsi="Times New Roman"/>
          <w:sz w:val="20"/>
        </w:rPr>
        <w:t xml:space="preserve">” </w:t>
      </w:r>
      <w:r w:rsidRPr="00AC0225">
        <w:rPr>
          <w:rFonts w:ascii="Times New Roman" w:eastAsiaTheme="minorHAnsi" w:hAnsi="Times New Roman"/>
          <w:iCs/>
          <w:sz w:val="20"/>
          <w:lang w:val="en-GB" w:eastAsia="en-US"/>
        </w:rPr>
        <w:t>(2 Kor 5,18)</w:t>
      </w:r>
      <w:r w:rsidRPr="00AC0225">
        <w:rPr>
          <w:rFonts w:ascii="Times New Roman" w:hAnsi="Times New Roman"/>
          <w:sz w:val="20"/>
        </w:rPr>
        <w:t>.</w:t>
      </w:r>
    </w:p>
    <w:p w14:paraId="0016B72C" w14:textId="163C9678" w:rsidR="00CE667A" w:rsidRPr="00AC0225" w:rsidRDefault="00CE667A" w:rsidP="00CE667A">
      <w:pPr>
        <w:rPr>
          <w:rFonts w:ascii="Times New Roman" w:hAnsi="Times New Roman"/>
          <w:sz w:val="20"/>
        </w:rPr>
      </w:pPr>
      <w:r w:rsidRPr="00AC0225">
        <w:rPr>
          <w:rFonts w:ascii="Times New Roman" w:hAnsi="Times New Roman"/>
          <w:sz w:val="20"/>
        </w:rPr>
        <w:t>Naszym Zastępstwem nigdy nie był jedynie Chrystus ani jedynie Bóg, ale Bóg w Chrystusie, który jest jednocześnie Bogiem i człowiekiem. Bóg w Chrystusie zajął nasze miejsce. Tak więc obiekcje wobec zastępczego pojednania znikają. Nie ma nic niemoralnego (bezprawnego) w zastępstwie, gdyż Zastępcza przestępców prawa jest Prawodawcą, który jako jedyny mógł dokonać zadośćuczynienia za przestępstwa. Krzyż nie jest transakcją z</w:t>
      </w:r>
      <w:r w:rsidR="009D4E4A">
        <w:rPr>
          <w:rFonts w:ascii="Times New Roman" w:hAnsi="Times New Roman"/>
          <w:sz w:val="20"/>
        </w:rPr>
        <w:t> </w:t>
      </w:r>
      <w:r w:rsidRPr="00AC0225">
        <w:rPr>
          <w:rFonts w:ascii="Times New Roman" w:hAnsi="Times New Roman"/>
          <w:sz w:val="20"/>
        </w:rPr>
        <w:t>diabłem. Jako Bóg, Chrystus pojednał nas z sobą samym, by „</w:t>
      </w:r>
      <w:r w:rsidRPr="00AC0225">
        <w:rPr>
          <w:rFonts w:ascii="Times New Roman" w:eastAsiaTheme="minorHAnsi" w:hAnsi="Times New Roman"/>
          <w:sz w:val="20"/>
          <w:lang w:eastAsia="en-US"/>
        </w:rPr>
        <w:t>zaspokoić żądania złamanego prawa i w ten sposób przerzu</w:t>
      </w:r>
      <w:r w:rsidRPr="00AC0225">
        <w:rPr>
          <w:rFonts w:ascii="Times New Roman" w:eastAsiaTheme="minorHAnsi" w:hAnsi="Times New Roman"/>
          <w:sz w:val="20"/>
          <w:lang w:eastAsia="en-US"/>
        </w:rPr>
        <w:softHyphen/>
        <w:t>cić On most nad przepaścią, jaką spowodował grzech</w:t>
      </w:r>
      <w:r w:rsidRPr="00AC0225">
        <w:rPr>
          <w:rFonts w:ascii="Times New Roman" w:hAnsi="Times New Roman"/>
          <w:sz w:val="20"/>
        </w:rPr>
        <w:t>” (</w:t>
      </w:r>
      <w:r w:rsidRPr="00AC0225">
        <w:rPr>
          <w:rFonts w:ascii="Times New Roman" w:eastAsiaTheme="minorHAnsi" w:hAnsi="Times New Roman"/>
          <w:sz w:val="20"/>
          <w:lang w:val="en-GB" w:eastAsia="en-US"/>
        </w:rPr>
        <w:t xml:space="preserve">Ellen G. White, </w:t>
      </w:r>
      <w:r w:rsidRPr="00AC0225">
        <w:rPr>
          <w:rFonts w:ascii="Times New Roman" w:eastAsiaTheme="minorHAnsi" w:hAnsi="Times New Roman"/>
          <w:i/>
          <w:iCs/>
          <w:sz w:val="20"/>
          <w:lang w:val="en-GB" w:eastAsia="en-US"/>
        </w:rPr>
        <w:t>Wybrane poselstwa</w:t>
      </w:r>
      <w:r w:rsidRPr="00AC0225">
        <w:rPr>
          <w:rFonts w:ascii="Times New Roman" w:eastAsiaTheme="minorHAnsi" w:hAnsi="Times New Roman"/>
          <w:sz w:val="20"/>
          <w:lang w:val="en-GB" w:eastAsia="en-US"/>
        </w:rPr>
        <w:t>, t. 1, Warszawa 2010, s. 317</w:t>
      </w:r>
      <w:r w:rsidRPr="00AC0225">
        <w:rPr>
          <w:rFonts w:ascii="Times New Roman" w:hAnsi="Times New Roman"/>
          <w:sz w:val="20"/>
        </w:rPr>
        <w:t>).</w:t>
      </w:r>
    </w:p>
    <w:p w14:paraId="027DBD79" w14:textId="77777777" w:rsidR="00CE667A" w:rsidRPr="00AC0225" w:rsidRDefault="00CE667A" w:rsidP="00CE667A">
      <w:pPr>
        <w:rPr>
          <w:rFonts w:ascii="Times New Roman" w:hAnsi="Times New Roman"/>
          <w:sz w:val="20"/>
        </w:rPr>
      </w:pPr>
    </w:p>
    <w:p w14:paraId="2CDA7E10" w14:textId="77777777" w:rsidR="00CE667A" w:rsidRPr="00AC0225" w:rsidRDefault="00CE667A" w:rsidP="00CE667A">
      <w:pPr>
        <w:rPr>
          <w:rFonts w:ascii="Times New Roman" w:eastAsiaTheme="minorHAnsi" w:hAnsi="Times New Roman"/>
          <w:sz w:val="20"/>
          <w:lang w:eastAsia="en-US"/>
        </w:rPr>
      </w:pPr>
      <w:r w:rsidRPr="00AC0225">
        <w:rPr>
          <w:rFonts w:ascii="Times New Roman" w:eastAsiaTheme="minorHAnsi" w:hAnsi="Times New Roman"/>
          <w:b/>
          <w:sz w:val="20"/>
          <w:lang w:eastAsia="en-US"/>
        </w:rPr>
        <w:t>Część III: Zastosowanie</w:t>
      </w:r>
    </w:p>
    <w:p w14:paraId="5522E84C" w14:textId="77777777" w:rsidR="00CE667A" w:rsidRPr="00AC0225" w:rsidRDefault="00CE667A" w:rsidP="00CE667A">
      <w:pPr>
        <w:rPr>
          <w:rFonts w:ascii="Times New Roman" w:eastAsiaTheme="minorHAnsi" w:hAnsi="Times New Roman"/>
          <w:sz w:val="20"/>
          <w:lang w:eastAsia="en-US"/>
        </w:rPr>
      </w:pPr>
    </w:p>
    <w:p w14:paraId="373693FC" w14:textId="77777777" w:rsidR="00CE667A" w:rsidRPr="00AC0225" w:rsidRDefault="00CE667A" w:rsidP="00CE667A">
      <w:pPr>
        <w:rPr>
          <w:rFonts w:ascii="Times New Roman" w:hAnsi="Times New Roman"/>
          <w:sz w:val="20"/>
        </w:rPr>
      </w:pPr>
      <w:r w:rsidRPr="00AC0225">
        <w:rPr>
          <w:rFonts w:ascii="Times New Roman" w:hAnsi="Times New Roman"/>
          <w:sz w:val="20"/>
        </w:rPr>
        <w:t xml:space="preserve">1. W kontekście zastępstwa Chrystusa rozważ refren adwentystycznej pieśni </w:t>
      </w:r>
      <w:r w:rsidRPr="00AC0225">
        <w:rPr>
          <w:rFonts w:ascii="Times New Roman" w:hAnsi="Times New Roman"/>
          <w:i/>
          <w:sz w:val="20"/>
        </w:rPr>
        <w:t>And Can It Be?</w:t>
      </w:r>
      <w:r w:rsidRPr="00AC0225">
        <w:rPr>
          <w:rFonts w:ascii="Times New Roman" w:hAnsi="Times New Roman"/>
          <w:sz w:val="20"/>
        </w:rPr>
        <w:t xml:space="preserve"> (Czy to możliwe?; </w:t>
      </w:r>
      <w:r w:rsidRPr="00AC0225">
        <w:rPr>
          <w:rFonts w:ascii="Times New Roman" w:eastAsiaTheme="minorHAnsi" w:hAnsi="Times New Roman"/>
          <w:i/>
          <w:iCs/>
          <w:sz w:val="20"/>
          <w:lang w:val="en-GB" w:eastAsia="en-US"/>
        </w:rPr>
        <w:t>The SDA Hymnal</w:t>
      </w:r>
      <w:r w:rsidRPr="00AC0225">
        <w:rPr>
          <w:rFonts w:ascii="Times New Roman" w:eastAsiaTheme="minorHAnsi" w:hAnsi="Times New Roman"/>
          <w:iCs/>
          <w:sz w:val="20"/>
          <w:lang w:val="en-GB" w:eastAsia="en-US"/>
        </w:rPr>
        <w:t>,</w:t>
      </w:r>
      <w:r w:rsidRPr="00AC0225">
        <w:rPr>
          <w:rFonts w:ascii="Times New Roman" w:eastAsiaTheme="minorHAnsi" w:hAnsi="Times New Roman"/>
          <w:i/>
          <w:iCs/>
          <w:sz w:val="20"/>
          <w:lang w:val="en-GB" w:eastAsia="en-US"/>
        </w:rPr>
        <w:t xml:space="preserve"> </w:t>
      </w:r>
      <w:r w:rsidRPr="00AC0225">
        <w:rPr>
          <w:rFonts w:ascii="Times New Roman" w:eastAsiaTheme="minorHAnsi" w:hAnsi="Times New Roman"/>
          <w:sz w:val="20"/>
          <w:lang w:val="en-GB" w:eastAsia="en-US"/>
        </w:rPr>
        <w:t>nr 198</w:t>
      </w:r>
      <w:r w:rsidRPr="00AC0225">
        <w:rPr>
          <w:rFonts w:ascii="Times New Roman" w:hAnsi="Times New Roman"/>
          <w:sz w:val="20"/>
        </w:rPr>
        <w:t>): „Niepojęta miłości! Jak to możliwe, że Tym, mój Boże, umarłeś za mnie?”. Co ta prawda oznacza dla ciebie osobiście?</w:t>
      </w:r>
    </w:p>
    <w:p w14:paraId="43D8055C" w14:textId="77777777" w:rsidR="00CE667A" w:rsidRPr="00AC0225" w:rsidRDefault="00CE667A" w:rsidP="00CE667A">
      <w:pPr>
        <w:rPr>
          <w:rFonts w:ascii="Times New Roman" w:hAnsi="Times New Roman"/>
          <w:sz w:val="20"/>
        </w:rPr>
      </w:pPr>
      <w:r w:rsidRPr="00AC0225">
        <w:rPr>
          <w:rFonts w:ascii="Times New Roman" w:hAnsi="Times New Roman"/>
          <w:sz w:val="20"/>
        </w:rPr>
        <w:t>2. Dlaczego zastępstwo jest tak ważne w planie zbawienia? Co mówi nam to o tym, jak wielkim złem jest grzech, skoro wymagał ofiary „Boga w Chrystusie”, aby możliwe było rozwiązanie tego problemu i udzielenie nam nadziei życia wiecznego?</w:t>
      </w:r>
    </w:p>
    <w:p w14:paraId="68D35F54" w14:textId="77777777" w:rsidR="00A12E04" w:rsidRPr="00AC0225" w:rsidRDefault="00A12E04" w:rsidP="00CE667A">
      <w:pPr>
        <w:rPr>
          <w:rFonts w:ascii="Times New Roman" w:hAnsi="Times New Roman"/>
          <w:sz w:val="20"/>
        </w:rPr>
      </w:pPr>
    </w:p>
    <w:sectPr w:rsidR="00A12E04" w:rsidRPr="00AC0225">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CABC13" w14:textId="77777777" w:rsidR="002477AE" w:rsidRDefault="002477AE" w:rsidP="00A820C9">
      <w:r>
        <w:separator/>
      </w:r>
    </w:p>
  </w:endnote>
  <w:endnote w:type="continuationSeparator" w:id="0">
    <w:p w14:paraId="7019FB7C" w14:textId="77777777" w:rsidR="002477AE" w:rsidRDefault="002477AE" w:rsidP="00A82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PMincho">
    <w:charset w:val="80"/>
    <w:family w:val="roman"/>
    <w:pitch w:val="variable"/>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9F3C3" w14:textId="77777777" w:rsidR="00243314" w:rsidRDefault="0024331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9940899"/>
      <w:docPartObj>
        <w:docPartGallery w:val="Page Numbers (Bottom of Page)"/>
        <w:docPartUnique/>
      </w:docPartObj>
    </w:sdtPr>
    <w:sdtEndPr>
      <w:rPr>
        <w:rFonts w:ascii="Times New Roman" w:hAnsi="Times New Roman"/>
        <w:sz w:val="16"/>
        <w:szCs w:val="16"/>
      </w:rPr>
    </w:sdtEndPr>
    <w:sdtContent>
      <w:p w14:paraId="4718B13D" w14:textId="77777777" w:rsidR="00A97ECA" w:rsidRPr="00A820C9" w:rsidRDefault="00A97ECA">
        <w:pPr>
          <w:pStyle w:val="Stopka"/>
          <w:jc w:val="center"/>
          <w:rPr>
            <w:rFonts w:ascii="Times New Roman" w:hAnsi="Times New Roman"/>
            <w:sz w:val="16"/>
            <w:szCs w:val="16"/>
          </w:rPr>
        </w:pPr>
        <w:r w:rsidRPr="00A820C9">
          <w:rPr>
            <w:rFonts w:ascii="Times New Roman" w:hAnsi="Times New Roman"/>
            <w:sz w:val="16"/>
            <w:szCs w:val="16"/>
          </w:rPr>
          <w:fldChar w:fldCharType="begin"/>
        </w:r>
        <w:r w:rsidRPr="00A820C9">
          <w:rPr>
            <w:rFonts w:ascii="Times New Roman" w:hAnsi="Times New Roman"/>
            <w:sz w:val="16"/>
            <w:szCs w:val="16"/>
          </w:rPr>
          <w:instrText>PAGE   \* MERGEFORMAT</w:instrText>
        </w:r>
        <w:r w:rsidRPr="00A820C9">
          <w:rPr>
            <w:rFonts w:ascii="Times New Roman" w:hAnsi="Times New Roman"/>
            <w:sz w:val="16"/>
            <w:szCs w:val="16"/>
          </w:rPr>
          <w:fldChar w:fldCharType="separate"/>
        </w:r>
        <w:r w:rsidR="00DC7A32">
          <w:rPr>
            <w:rFonts w:ascii="Times New Roman" w:hAnsi="Times New Roman"/>
            <w:noProof/>
            <w:sz w:val="16"/>
            <w:szCs w:val="16"/>
          </w:rPr>
          <w:t>1</w:t>
        </w:r>
        <w:r w:rsidRPr="00A820C9">
          <w:rPr>
            <w:rFonts w:ascii="Times New Roman" w:hAnsi="Times New Roman"/>
            <w:sz w:val="16"/>
            <w:szCs w:val="16"/>
          </w:rPr>
          <w:fldChar w:fldCharType="end"/>
        </w:r>
      </w:p>
    </w:sdtContent>
  </w:sdt>
  <w:p w14:paraId="195450EC" w14:textId="77777777" w:rsidR="00A97ECA" w:rsidRDefault="00A97ECA">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22591" w14:textId="77777777" w:rsidR="00243314" w:rsidRDefault="0024331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971238" w14:textId="77777777" w:rsidR="002477AE" w:rsidRDefault="002477AE" w:rsidP="00A820C9">
      <w:r>
        <w:separator/>
      </w:r>
    </w:p>
  </w:footnote>
  <w:footnote w:type="continuationSeparator" w:id="0">
    <w:p w14:paraId="101A9971" w14:textId="77777777" w:rsidR="002477AE" w:rsidRDefault="002477AE" w:rsidP="00A820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9E2A0" w14:textId="77777777" w:rsidR="00243314" w:rsidRDefault="00243314">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0B9EB" w14:textId="6FFBF2E8" w:rsidR="00B2361E" w:rsidRPr="00B2361E" w:rsidRDefault="00B2361E" w:rsidP="00B2361E">
    <w:pPr>
      <w:rPr>
        <w:rFonts w:ascii="Times New Roman" w:hAnsi="Times New Roman"/>
        <w:i/>
        <w:iCs/>
        <w:sz w:val="16"/>
        <w:szCs w:val="16"/>
      </w:rPr>
    </w:pPr>
    <w:r w:rsidRPr="00B2361E">
      <w:rPr>
        <w:rFonts w:ascii="Times New Roman" w:eastAsia="MS PMincho" w:hAnsi="Times New Roman"/>
        <w:sz w:val="16"/>
        <w:szCs w:val="16"/>
      </w:rPr>
      <w:t xml:space="preserve">Lekcje Biblijne </w:t>
    </w:r>
    <w:r w:rsidR="006F3FE7">
      <w:rPr>
        <w:rFonts w:ascii="Times New Roman" w:eastAsia="MS PMincho" w:hAnsi="Times New Roman"/>
        <w:sz w:val="16"/>
        <w:szCs w:val="16"/>
      </w:rPr>
      <w:t>1/</w:t>
    </w:r>
    <w:r w:rsidRPr="00B2361E">
      <w:rPr>
        <w:rFonts w:ascii="Times New Roman" w:eastAsia="MS PMincho" w:hAnsi="Times New Roman"/>
        <w:sz w:val="16"/>
        <w:szCs w:val="16"/>
      </w:rPr>
      <w:t>202</w:t>
    </w:r>
    <w:r w:rsidR="006F3FE7">
      <w:rPr>
        <w:rFonts w:ascii="Times New Roman" w:eastAsia="MS PMincho" w:hAnsi="Times New Roman"/>
        <w:sz w:val="16"/>
        <w:szCs w:val="16"/>
      </w:rPr>
      <w:t>2</w:t>
    </w:r>
    <w:r w:rsidRPr="00B2361E">
      <w:rPr>
        <w:rFonts w:ascii="Times New Roman" w:eastAsia="MS PMincho" w:hAnsi="Times New Roman"/>
        <w:sz w:val="16"/>
        <w:szCs w:val="16"/>
      </w:rPr>
      <w:t xml:space="preserve">, </w:t>
    </w:r>
    <w:r w:rsidR="006F3FE7">
      <w:rPr>
        <w:rFonts w:ascii="Times New Roman" w:hAnsi="Times New Roman"/>
        <w:sz w:val="16"/>
        <w:szCs w:val="16"/>
      </w:rPr>
      <w:t>Felix Cortez</w:t>
    </w:r>
    <w:r w:rsidR="00262338">
      <w:rPr>
        <w:rFonts w:ascii="Times New Roman" w:hAnsi="Times New Roman"/>
        <w:sz w:val="16"/>
        <w:szCs w:val="16"/>
      </w:rPr>
      <w:t xml:space="preserve"> – </w:t>
    </w:r>
    <w:r w:rsidR="00AD058E">
      <w:rPr>
        <w:rFonts w:ascii="Times New Roman" w:hAnsi="Times New Roman"/>
        <w:sz w:val="16"/>
        <w:szCs w:val="16"/>
      </w:rPr>
      <w:t>U kresu tych dni. Przesłanie Listu do Hebrajczyków</w:t>
    </w:r>
  </w:p>
  <w:p w14:paraId="7F024918" w14:textId="3E8F7D40" w:rsidR="00A97ECA" w:rsidRPr="00AA0514" w:rsidRDefault="00B2361E" w:rsidP="00192589">
    <w:pPr>
      <w:rPr>
        <w:rFonts w:ascii="Times New Roman" w:hAnsi="Times New Roman"/>
        <w:b/>
        <w:sz w:val="16"/>
        <w:szCs w:val="16"/>
      </w:rPr>
    </w:pPr>
    <w:r w:rsidRPr="00B2361E">
      <w:rPr>
        <w:rFonts w:ascii="Times New Roman" w:hAnsi="Times New Roman"/>
        <w:sz w:val="16"/>
        <w:szCs w:val="16"/>
      </w:rPr>
      <w:t>Przewodnik dla nauczycieli, Lekcja</w:t>
    </w:r>
    <w:r w:rsidR="00135593">
      <w:rPr>
        <w:rFonts w:ascii="Times New Roman" w:hAnsi="Times New Roman"/>
        <w:sz w:val="16"/>
        <w:szCs w:val="16"/>
      </w:rPr>
      <w:t xml:space="preserve"> </w:t>
    </w:r>
    <w:r w:rsidR="00CE667A">
      <w:rPr>
        <w:rFonts w:ascii="Times New Roman" w:hAnsi="Times New Roman"/>
        <w:sz w:val="16"/>
        <w:szCs w:val="16"/>
      </w:rPr>
      <w:t>9</w:t>
    </w:r>
    <w:r w:rsidR="004B48A7">
      <w:rPr>
        <w:rFonts w:ascii="Times New Roman" w:hAnsi="Times New Roman"/>
        <w:sz w:val="16"/>
        <w:szCs w:val="16"/>
      </w:rPr>
      <w:t xml:space="preserve"> </w:t>
    </w:r>
    <w:r w:rsidR="0015413F">
      <w:rPr>
        <w:rFonts w:ascii="Times New Roman" w:hAnsi="Times New Roman"/>
        <w:sz w:val="16"/>
        <w:szCs w:val="16"/>
      </w:rPr>
      <w:t>–</w:t>
    </w:r>
    <w:r w:rsidR="00C851EF">
      <w:rPr>
        <w:rFonts w:ascii="Times New Roman" w:hAnsi="Times New Roman"/>
        <w:sz w:val="16"/>
        <w:szCs w:val="16"/>
      </w:rPr>
      <w:t xml:space="preserve"> </w:t>
    </w:r>
    <w:r w:rsidR="00D23376">
      <w:rPr>
        <w:rFonts w:ascii="Times New Roman" w:hAnsi="Times New Roman"/>
        <w:sz w:val="16"/>
        <w:szCs w:val="16"/>
      </w:rPr>
      <w:t>Jezus</w:t>
    </w:r>
    <w:r w:rsidR="006A2A98">
      <w:rPr>
        <w:rFonts w:ascii="Times New Roman" w:hAnsi="Times New Roman"/>
        <w:sz w:val="16"/>
        <w:szCs w:val="16"/>
      </w:rPr>
      <w:t>,</w:t>
    </w:r>
    <w:r w:rsidR="00D23376">
      <w:rPr>
        <w:rFonts w:ascii="Times New Roman" w:hAnsi="Times New Roman"/>
        <w:sz w:val="16"/>
        <w:szCs w:val="16"/>
      </w:rPr>
      <w:t xml:space="preserve"> </w:t>
    </w:r>
    <w:r w:rsidR="00243314">
      <w:rPr>
        <w:rFonts w:ascii="Times New Roman" w:hAnsi="Times New Roman"/>
        <w:sz w:val="16"/>
        <w:szCs w:val="16"/>
      </w:rPr>
      <w:t>doskonała Ofiara</w:t>
    </w:r>
    <w:r w:rsidR="00A161FF">
      <w:rPr>
        <w:rFonts w:ascii="Times New Roman" w:hAnsi="Times New Roman"/>
        <w:sz w:val="16"/>
        <w:szCs w:val="16"/>
      </w:rPr>
      <w:t xml:space="preserve"> </w:t>
    </w:r>
    <w:r w:rsidR="003E3A74">
      <w:rPr>
        <w:rFonts w:ascii="Times New Roman" w:hAnsi="Times New Roman"/>
        <w:sz w:val="16"/>
        <w:szCs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F7F5E" w14:textId="77777777" w:rsidR="00243314" w:rsidRDefault="00243314">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757"/>
    <w:rsid w:val="00006FBF"/>
    <w:rsid w:val="0002114D"/>
    <w:rsid w:val="00026501"/>
    <w:rsid w:val="00027C13"/>
    <w:rsid w:val="000314C7"/>
    <w:rsid w:val="00034222"/>
    <w:rsid w:val="00035493"/>
    <w:rsid w:val="00041B9C"/>
    <w:rsid w:val="0004300C"/>
    <w:rsid w:val="0005026A"/>
    <w:rsid w:val="000520B7"/>
    <w:rsid w:val="00057016"/>
    <w:rsid w:val="00057F7D"/>
    <w:rsid w:val="000601FC"/>
    <w:rsid w:val="0006177B"/>
    <w:rsid w:val="000626C5"/>
    <w:rsid w:val="00063209"/>
    <w:rsid w:val="00071A8E"/>
    <w:rsid w:val="00071DD3"/>
    <w:rsid w:val="00073013"/>
    <w:rsid w:val="000803E0"/>
    <w:rsid w:val="0008053E"/>
    <w:rsid w:val="00080D7F"/>
    <w:rsid w:val="00084D07"/>
    <w:rsid w:val="00095BF6"/>
    <w:rsid w:val="00097610"/>
    <w:rsid w:val="000A1890"/>
    <w:rsid w:val="000A5E76"/>
    <w:rsid w:val="000A7CAE"/>
    <w:rsid w:val="000B4665"/>
    <w:rsid w:val="000C39FA"/>
    <w:rsid w:val="000C43D8"/>
    <w:rsid w:val="000D0B43"/>
    <w:rsid w:val="000D3669"/>
    <w:rsid w:val="000D704C"/>
    <w:rsid w:val="000E37F9"/>
    <w:rsid w:val="000E3D8C"/>
    <w:rsid w:val="000F4D2C"/>
    <w:rsid w:val="00125D50"/>
    <w:rsid w:val="00125E33"/>
    <w:rsid w:val="00130250"/>
    <w:rsid w:val="00130B84"/>
    <w:rsid w:val="00131D4E"/>
    <w:rsid w:val="001344DC"/>
    <w:rsid w:val="00135593"/>
    <w:rsid w:val="001407C0"/>
    <w:rsid w:val="0015413F"/>
    <w:rsid w:val="00160A2E"/>
    <w:rsid w:val="00161F23"/>
    <w:rsid w:val="00162107"/>
    <w:rsid w:val="001634CA"/>
    <w:rsid w:val="001663AF"/>
    <w:rsid w:val="00167273"/>
    <w:rsid w:val="0017267D"/>
    <w:rsid w:val="00172E60"/>
    <w:rsid w:val="00180FC0"/>
    <w:rsid w:val="001900C2"/>
    <w:rsid w:val="00191138"/>
    <w:rsid w:val="00192589"/>
    <w:rsid w:val="001A14AD"/>
    <w:rsid w:val="001A64A1"/>
    <w:rsid w:val="001A762A"/>
    <w:rsid w:val="001B6CB1"/>
    <w:rsid w:val="001C3DCA"/>
    <w:rsid w:val="001D207D"/>
    <w:rsid w:val="001E3960"/>
    <w:rsid w:val="001F3AB8"/>
    <w:rsid w:val="00207A60"/>
    <w:rsid w:val="00211923"/>
    <w:rsid w:val="00212D47"/>
    <w:rsid w:val="002215B7"/>
    <w:rsid w:val="0024201E"/>
    <w:rsid w:val="002426C3"/>
    <w:rsid w:val="00243314"/>
    <w:rsid w:val="002477AE"/>
    <w:rsid w:val="00247ECF"/>
    <w:rsid w:val="00256C0B"/>
    <w:rsid w:val="00262338"/>
    <w:rsid w:val="00262399"/>
    <w:rsid w:val="002646E2"/>
    <w:rsid w:val="002666F2"/>
    <w:rsid w:val="00267AD9"/>
    <w:rsid w:val="0027003D"/>
    <w:rsid w:val="002840D6"/>
    <w:rsid w:val="0028485A"/>
    <w:rsid w:val="002A0BB1"/>
    <w:rsid w:val="002A0CBE"/>
    <w:rsid w:val="002A1958"/>
    <w:rsid w:val="002A48E6"/>
    <w:rsid w:val="002B23C1"/>
    <w:rsid w:val="002B2505"/>
    <w:rsid w:val="002B7744"/>
    <w:rsid w:val="002B7FC3"/>
    <w:rsid w:val="002C1A03"/>
    <w:rsid w:val="002C4FFF"/>
    <w:rsid w:val="002D1C21"/>
    <w:rsid w:val="002D3EDC"/>
    <w:rsid w:val="002F38CF"/>
    <w:rsid w:val="002F7A06"/>
    <w:rsid w:val="00300F15"/>
    <w:rsid w:val="00305BBE"/>
    <w:rsid w:val="00316DF1"/>
    <w:rsid w:val="003207A1"/>
    <w:rsid w:val="0032264D"/>
    <w:rsid w:val="003233CA"/>
    <w:rsid w:val="00323F87"/>
    <w:rsid w:val="0033532F"/>
    <w:rsid w:val="00337EE5"/>
    <w:rsid w:val="00341D7B"/>
    <w:rsid w:val="00343844"/>
    <w:rsid w:val="00344E00"/>
    <w:rsid w:val="00346E5C"/>
    <w:rsid w:val="00350868"/>
    <w:rsid w:val="00351ADA"/>
    <w:rsid w:val="003562CF"/>
    <w:rsid w:val="00357FBB"/>
    <w:rsid w:val="00362A7E"/>
    <w:rsid w:val="0036462B"/>
    <w:rsid w:val="0036582B"/>
    <w:rsid w:val="00394C88"/>
    <w:rsid w:val="003A03DD"/>
    <w:rsid w:val="003A1217"/>
    <w:rsid w:val="003A4695"/>
    <w:rsid w:val="003B30B7"/>
    <w:rsid w:val="003B7F2E"/>
    <w:rsid w:val="003C11EC"/>
    <w:rsid w:val="003C5237"/>
    <w:rsid w:val="003C5A40"/>
    <w:rsid w:val="003D1F71"/>
    <w:rsid w:val="003D35FF"/>
    <w:rsid w:val="003E38DE"/>
    <w:rsid w:val="003E3A74"/>
    <w:rsid w:val="003E5187"/>
    <w:rsid w:val="003E67C5"/>
    <w:rsid w:val="00404868"/>
    <w:rsid w:val="00411F03"/>
    <w:rsid w:val="00416C57"/>
    <w:rsid w:val="00422C48"/>
    <w:rsid w:val="0043366A"/>
    <w:rsid w:val="0044128C"/>
    <w:rsid w:val="0044786C"/>
    <w:rsid w:val="0045585B"/>
    <w:rsid w:val="00457757"/>
    <w:rsid w:val="004622A1"/>
    <w:rsid w:val="00473EDB"/>
    <w:rsid w:val="004765D6"/>
    <w:rsid w:val="00482556"/>
    <w:rsid w:val="00497AC0"/>
    <w:rsid w:val="004A07EB"/>
    <w:rsid w:val="004A1334"/>
    <w:rsid w:val="004A1F71"/>
    <w:rsid w:val="004A3508"/>
    <w:rsid w:val="004A68C6"/>
    <w:rsid w:val="004B48A7"/>
    <w:rsid w:val="004B532A"/>
    <w:rsid w:val="004B6D09"/>
    <w:rsid w:val="004D072B"/>
    <w:rsid w:val="004E0A2B"/>
    <w:rsid w:val="004E2DE9"/>
    <w:rsid w:val="004E40B6"/>
    <w:rsid w:val="004E7727"/>
    <w:rsid w:val="004F0AA1"/>
    <w:rsid w:val="004F76CE"/>
    <w:rsid w:val="004F7F95"/>
    <w:rsid w:val="00504576"/>
    <w:rsid w:val="00512C47"/>
    <w:rsid w:val="005205E4"/>
    <w:rsid w:val="00521F52"/>
    <w:rsid w:val="00535F72"/>
    <w:rsid w:val="00542986"/>
    <w:rsid w:val="00544549"/>
    <w:rsid w:val="005449EA"/>
    <w:rsid w:val="00545A28"/>
    <w:rsid w:val="00547F5F"/>
    <w:rsid w:val="005537F3"/>
    <w:rsid w:val="005538E5"/>
    <w:rsid w:val="0055562E"/>
    <w:rsid w:val="005675D2"/>
    <w:rsid w:val="0058262E"/>
    <w:rsid w:val="0058291A"/>
    <w:rsid w:val="0058625A"/>
    <w:rsid w:val="00597FD2"/>
    <w:rsid w:val="005A1543"/>
    <w:rsid w:val="005A45AA"/>
    <w:rsid w:val="005B1BDE"/>
    <w:rsid w:val="005B5CE3"/>
    <w:rsid w:val="005C0E8B"/>
    <w:rsid w:val="005C7E3B"/>
    <w:rsid w:val="005D533A"/>
    <w:rsid w:val="005D58BF"/>
    <w:rsid w:val="005D7BEF"/>
    <w:rsid w:val="005E01EF"/>
    <w:rsid w:val="005F1934"/>
    <w:rsid w:val="005F4946"/>
    <w:rsid w:val="00602B6F"/>
    <w:rsid w:val="00614445"/>
    <w:rsid w:val="00615FE6"/>
    <w:rsid w:val="006237C5"/>
    <w:rsid w:val="006254DA"/>
    <w:rsid w:val="00632A41"/>
    <w:rsid w:val="0063445E"/>
    <w:rsid w:val="00637276"/>
    <w:rsid w:val="0066123D"/>
    <w:rsid w:val="006624AC"/>
    <w:rsid w:val="006657A7"/>
    <w:rsid w:val="00673C79"/>
    <w:rsid w:val="00680F75"/>
    <w:rsid w:val="00685F14"/>
    <w:rsid w:val="00690562"/>
    <w:rsid w:val="00691DF0"/>
    <w:rsid w:val="006960FC"/>
    <w:rsid w:val="00697041"/>
    <w:rsid w:val="006A0507"/>
    <w:rsid w:val="006A2A98"/>
    <w:rsid w:val="006A77D5"/>
    <w:rsid w:val="006B4286"/>
    <w:rsid w:val="006B4503"/>
    <w:rsid w:val="006C1AD2"/>
    <w:rsid w:val="006C3510"/>
    <w:rsid w:val="006C423D"/>
    <w:rsid w:val="006D05BE"/>
    <w:rsid w:val="006E44CF"/>
    <w:rsid w:val="006E5C3B"/>
    <w:rsid w:val="006F2FFB"/>
    <w:rsid w:val="006F3FE7"/>
    <w:rsid w:val="0071208E"/>
    <w:rsid w:val="00725650"/>
    <w:rsid w:val="00726F3A"/>
    <w:rsid w:val="00727749"/>
    <w:rsid w:val="007346EB"/>
    <w:rsid w:val="0074017C"/>
    <w:rsid w:val="00752127"/>
    <w:rsid w:val="007608BA"/>
    <w:rsid w:val="0076232D"/>
    <w:rsid w:val="00767D8E"/>
    <w:rsid w:val="00776C42"/>
    <w:rsid w:val="007812DA"/>
    <w:rsid w:val="00785516"/>
    <w:rsid w:val="007934DA"/>
    <w:rsid w:val="0079785B"/>
    <w:rsid w:val="007B67F4"/>
    <w:rsid w:val="007C0F83"/>
    <w:rsid w:val="007C6037"/>
    <w:rsid w:val="007C7311"/>
    <w:rsid w:val="007D0F98"/>
    <w:rsid w:val="007E2A1C"/>
    <w:rsid w:val="007E39EB"/>
    <w:rsid w:val="007E4C17"/>
    <w:rsid w:val="007F2BD7"/>
    <w:rsid w:val="0081514B"/>
    <w:rsid w:val="008202AD"/>
    <w:rsid w:val="00833A91"/>
    <w:rsid w:val="00836C7A"/>
    <w:rsid w:val="00837409"/>
    <w:rsid w:val="00837D04"/>
    <w:rsid w:val="00840689"/>
    <w:rsid w:val="00845363"/>
    <w:rsid w:val="008572DB"/>
    <w:rsid w:val="0086228C"/>
    <w:rsid w:val="00870FEF"/>
    <w:rsid w:val="0087312A"/>
    <w:rsid w:val="00883CE6"/>
    <w:rsid w:val="00897134"/>
    <w:rsid w:val="008A4A07"/>
    <w:rsid w:val="008A4CC9"/>
    <w:rsid w:val="008A5882"/>
    <w:rsid w:val="008B44EC"/>
    <w:rsid w:val="008C1D23"/>
    <w:rsid w:val="008C1F5B"/>
    <w:rsid w:val="008C694D"/>
    <w:rsid w:val="008E0114"/>
    <w:rsid w:val="008E1633"/>
    <w:rsid w:val="008E63CB"/>
    <w:rsid w:val="009039D9"/>
    <w:rsid w:val="00903AB3"/>
    <w:rsid w:val="00904615"/>
    <w:rsid w:val="00910645"/>
    <w:rsid w:val="0091548D"/>
    <w:rsid w:val="00926046"/>
    <w:rsid w:val="00933C8E"/>
    <w:rsid w:val="00934141"/>
    <w:rsid w:val="00935E1F"/>
    <w:rsid w:val="009378A8"/>
    <w:rsid w:val="00947D49"/>
    <w:rsid w:val="00971A12"/>
    <w:rsid w:val="00974B48"/>
    <w:rsid w:val="0097572F"/>
    <w:rsid w:val="00980C54"/>
    <w:rsid w:val="0099242B"/>
    <w:rsid w:val="00992622"/>
    <w:rsid w:val="00993777"/>
    <w:rsid w:val="00997535"/>
    <w:rsid w:val="009A6521"/>
    <w:rsid w:val="009A7A43"/>
    <w:rsid w:val="009B4423"/>
    <w:rsid w:val="009B4EB5"/>
    <w:rsid w:val="009C3EC3"/>
    <w:rsid w:val="009D20F6"/>
    <w:rsid w:val="009D4E4A"/>
    <w:rsid w:val="009E4CF6"/>
    <w:rsid w:val="009E6419"/>
    <w:rsid w:val="009E786E"/>
    <w:rsid w:val="009F11FB"/>
    <w:rsid w:val="009F74C4"/>
    <w:rsid w:val="00A03AF6"/>
    <w:rsid w:val="00A06761"/>
    <w:rsid w:val="00A10178"/>
    <w:rsid w:val="00A12E04"/>
    <w:rsid w:val="00A1594B"/>
    <w:rsid w:val="00A161FF"/>
    <w:rsid w:val="00A17612"/>
    <w:rsid w:val="00A22AA7"/>
    <w:rsid w:val="00A249C3"/>
    <w:rsid w:val="00A26A3B"/>
    <w:rsid w:val="00A32AA6"/>
    <w:rsid w:val="00A372AD"/>
    <w:rsid w:val="00A41678"/>
    <w:rsid w:val="00A45D17"/>
    <w:rsid w:val="00A47653"/>
    <w:rsid w:val="00A47A53"/>
    <w:rsid w:val="00A501CB"/>
    <w:rsid w:val="00A51056"/>
    <w:rsid w:val="00A55737"/>
    <w:rsid w:val="00A57F47"/>
    <w:rsid w:val="00A60126"/>
    <w:rsid w:val="00A6088A"/>
    <w:rsid w:val="00A65204"/>
    <w:rsid w:val="00A65821"/>
    <w:rsid w:val="00A658B6"/>
    <w:rsid w:val="00A7315F"/>
    <w:rsid w:val="00A736F6"/>
    <w:rsid w:val="00A74F83"/>
    <w:rsid w:val="00A80A2C"/>
    <w:rsid w:val="00A81F1D"/>
    <w:rsid w:val="00A820C9"/>
    <w:rsid w:val="00A8302C"/>
    <w:rsid w:val="00A85D90"/>
    <w:rsid w:val="00A974E6"/>
    <w:rsid w:val="00A9798E"/>
    <w:rsid w:val="00A97ECA"/>
    <w:rsid w:val="00AA0514"/>
    <w:rsid w:val="00AA28FC"/>
    <w:rsid w:val="00AA336A"/>
    <w:rsid w:val="00AA4615"/>
    <w:rsid w:val="00AB03A5"/>
    <w:rsid w:val="00AB40C3"/>
    <w:rsid w:val="00AB5D63"/>
    <w:rsid w:val="00AB6768"/>
    <w:rsid w:val="00AC3205"/>
    <w:rsid w:val="00AD058E"/>
    <w:rsid w:val="00AD4D5B"/>
    <w:rsid w:val="00AD7194"/>
    <w:rsid w:val="00B12BA8"/>
    <w:rsid w:val="00B2361E"/>
    <w:rsid w:val="00B244DF"/>
    <w:rsid w:val="00B27439"/>
    <w:rsid w:val="00B30841"/>
    <w:rsid w:val="00B31A94"/>
    <w:rsid w:val="00B32C6C"/>
    <w:rsid w:val="00B42BF8"/>
    <w:rsid w:val="00B5045B"/>
    <w:rsid w:val="00B5278F"/>
    <w:rsid w:val="00B53BCA"/>
    <w:rsid w:val="00B608AC"/>
    <w:rsid w:val="00B60B00"/>
    <w:rsid w:val="00B67684"/>
    <w:rsid w:val="00B70608"/>
    <w:rsid w:val="00B9066D"/>
    <w:rsid w:val="00B90CB9"/>
    <w:rsid w:val="00B941C8"/>
    <w:rsid w:val="00BA48CF"/>
    <w:rsid w:val="00BA4C89"/>
    <w:rsid w:val="00BA5879"/>
    <w:rsid w:val="00BA7EDD"/>
    <w:rsid w:val="00BC756F"/>
    <w:rsid w:val="00BD0104"/>
    <w:rsid w:val="00BE5836"/>
    <w:rsid w:val="00BF6B76"/>
    <w:rsid w:val="00C01278"/>
    <w:rsid w:val="00C02E27"/>
    <w:rsid w:val="00C045AF"/>
    <w:rsid w:val="00C10CE6"/>
    <w:rsid w:val="00C14432"/>
    <w:rsid w:val="00C16A0D"/>
    <w:rsid w:val="00C1793D"/>
    <w:rsid w:val="00C22C76"/>
    <w:rsid w:val="00C2619A"/>
    <w:rsid w:val="00C26707"/>
    <w:rsid w:val="00C2757B"/>
    <w:rsid w:val="00C30958"/>
    <w:rsid w:val="00C34141"/>
    <w:rsid w:val="00C42F81"/>
    <w:rsid w:val="00C43D2B"/>
    <w:rsid w:val="00C44AC9"/>
    <w:rsid w:val="00C518BF"/>
    <w:rsid w:val="00C539F9"/>
    <w:rsid w:val="00C61B5B"/>
    <w:rsid w:val="00C67C1F"/>
    <w:rsid w:val="00C711AB"/>
    <w:rsid w:val="00C76D9B"/>
    <w:rsid w:val="00C851EF"/>
    <w:rsid w:val="00C85D32"/>
    <w:rsid w:val="00C93192"/>
    <w:rsid w:val="00CA1F88"/>
    <w:rsid w:val="00CB2110"/>
    <w:rsid w:val="00CB286C"/>
    <w:rsid w:val="00CB571A"/>
    <w:rsid w:val="00CD55B6"/>
    <w:rsid w:val="00CD6B02"/>
    <w:rsid w:val="00CE4997"/>
    <w:rsid w:val="00CE667A"/>
    <w:rsid w:val="00CE7CCE"/>
    <w:rsid w:val="00CF2F3B"/>
    <w:rsid w:val="00D010E2"/>
    <w:rsid w:val="00D0110D"/>
    <w:rsid w:val="00D0120F"/>
    <w:rsid w:val="00D0482E"/>
    <w:rsid w:val="00D1365B"/>
    <w:rsid w:val="00D143E6"/>
    <w:rsid w:val="00D17CAF"/>
    <w:rsid w:val="00D21548"/>
    <w:rsid w:val="00D23376"/>
    <w:rsid w:val="00D3080D"/>
    <w:rsid w:val="00D34B1B"/>
    <w:rsid w:val="00D43042"/>
    <w:rsid w:val="00D43CA9"/>
    <w:rsid w:val="00D460C5"/>
    <w:rsid w:val="00D5040D"/>
    <w:rsid w:val="00D5746C"/>
    <w:rsid w:val="00D67231"/>
    <w:rsid w:val="00D7222D"/>
    <w:rsid w:val="00D746F4"/>
    <w:rsid w:val="00DA421C"/>
    <w:rsid w:val="00DB4758"/>
    <w:rsid w:val="00DB7651"/>
    <w:rsid w:val="00DC750C"/>
    <w:rsid w:val="00DC7A32"/>
    <w:rsid w:val="00DD10BF"/>
    <w:rsid w:val="00DD7EA6"/>
    <w:rsid w:val="00DE011A"/>
    <w:rsid w:val="00DE0B9C"/>
    <w:rsid w:val="00DE5AB9"/>
    <w:rsid w:val="00DF1EA2"/>
    <w:rsid w:val="00E024F6"/>
    <w:rsid w:val="00E03075"/>
    <w:rsid w:val="00E06F36"/>
    <w:rsid w:val="00E147E0"/>
    <w:rsid w:val="00E15431"/>
    <w:rsid w:val="00E23861"/>
    <w:rsid w:val="00E274A1"/>
    <w:rsid w:val="00E32868"/>
    <w:rsid w:val="00E366EF"/>
    <w:rsid w:val="00E60CC8"/>
    <w:rsid w:val="00E70CA3"/>
    <w:rsid w:val="00E74F52"/>
    <w:rsid w:val="00E7674E"/>
    <w:rsid w:val="00E8687A"/>
    <w:rsid w:val="00E86CB7"/>
    <w:rsid w:val="00E90F2D"/>
    <w:rsid w:val="00E9226C"/>
    <w:rsid w:val="00E95C9D"/>
    <w:rsid w:val="00EB1FDE"/>
    <w:rsid w:val="00EB34DD"/>
    <w:rsid w:val="00EC1ADB"/>
    <w:rsid w:val="00EF226A"/>
    <w:rsid w:val="00EF3E9E"/>
    <w:rsid w:val="00EF502C"/>
    <w:rsid w:val="00F16117"/>
    <w:rsid w:val="00F16358"/>
    <w:rsid w:val="00F2397B"/>
    <w:rsid w:val="00F34F5E"/>
    <w:rsid w:val="00F40C65"/>
    <w:rsid w:val="00F42B0D"/>
    <w:rsid w:val="00F47047"/>
    <w:rsid w:val="00F5322D"/>
    <w:rsid w:val="00F711C9"/>
    <w:rsid w:val="00F757EC"/>
    <w:rsid w:val="00F8023F"/>
    <w:rsid w:val="00F85EB2"/>
    <w:rsid w:val="00F86EBE"/>
    <w:rsid w:val="00F96322"/>
    <w:rsid w:val="00FB0002"/>
    <w:rsid w:val="00FB5DE0"/>
    <w:rsid w:val="00FB5F4B"/>
    <w:rsid w:val="00FC280C"/>
    <w:rsid w:val="00FC35F3"/>
    <w:rsid w:val="00FE03F9"/>
    <w:rsid w:val="00FF1219"/>
    <w:rsid w:val="00FF1B01"/>
    <w:rsid w:val="00FF25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F4FFED"/>
  <w15:chartTrackingRefBased/>
  <w15:docId w15:val="{D7322DC2-0E67-4680-A28B-1D6D46ACC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820C9"/>
    <w:pPr>
      <w:spacing w:after="0" w:line="240" w:lineRule="auto"/>
      <w:ind w:firstLine="567"/>
      <w:jc w:val="both"/>
    </w:pPr>
    <w:rPr>
      <w:rFonts w:ascii="Tahoma" w:eastAsia="Times New Roman" w:hAnsi="Tahoma" w:cs="Times New Roman"/>
      <w:sz w:val="3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820C9"/>
    <w:pPr>
      <w:tabs>
        <w:tab w:val="center" w:pos="4536"/>
        <w:tab w:val="right" w:pos="9072"/>
      </w:tabs>
    </w:pPr>
  </w:style>
  <w:style w:type="character" w:customStyle="1" w:styleId="NagwekZnak">
    <w:name w:val="Nagłówek Znak"/>
    <w:basedOn w:val="Domylnaczcionkaakapitu"/>
    <w:link w:val="Nagwek"/>
    <w:uiPriority w:val="99"/>
    <w:rsid w:val="00A820C9"/>
    <w:rPr>
      <w:rFonts w:ascii="Tahoma" w:eastAsia="Times New Roman" w:hAnsi="Tahoma" w:cs="Times New Roman"/>
      <w:sz w:val="30"/>
      <w:szCs w:val="20"/>
      <w:lang w:eastAsia="pl-PL"/>
    </w:rPr>
  </w:style>
  <w:style w:type="paragraph" w:styleId="Stopka">
    <w:name w:val="footer"/>
    <w:basedOn w:val="Normalny"/>
    <w:link w:val="StopkaZnak"/>
    <w:uiPriority w:val="99"/>
    <w:unhideWhenUsed/>
    <w:rsid w:val="00A820C9"/>
    <w:pPr>
      <w:tabs>
        <w:tab w:val="center" w:pos="4536"/>
        <w:tab w:val="right" w:pos="9072"/>
      </w:tabs>
    </w:pPr>
  </w:style>
  <w:style w:type="character" w:customStyle="1" w:styleId="StopkaZnak">
    <w:name w:val="Stopka Znak"/>
    <w:basedOn w:val="Domylnaczcionkaakapitu"/>
    <w:link w:val="Stopka"/>
    <w:uiPriority w:val="99"/>
    <w:rsid w:val="00A820C9"/>
    <w:rPr>
      <w:rFonts w:ascii="Tahoma" w:eastAsia="Times New Roman" w:hAnsi="Tahoma" w:cs="Times New Roman"/>
      <w:sz w:val="30"/>
      <w:szCs w:val="20"/>
      <w:lang w:eastAsia="pl-PL"/>
    </w:rPr>
  </w:style>
  <w:style w:type="paragraph" w:styleId="Tekstprzypisukocowego">
    <w:name w:val="endnote text"/>
    <w:basedOn w:val="Normalny"/>
    <w:link w:val="TekstprzypisukocowegoZnak"/>
    <w:uiPriority w:val="99"/>
    <w:semiHidden/>
    <w:unhideWhenUsed/>
    <w:rsid w:val="0074017C"/>
    <w:rPr>
      <w:sz w:val="20"/>
    </w:rPr>
  </w:style>
  <w:style w:type="character" w:customStyle="1" w:styleId="TekstprzypisukocowegoZnak">
    <w:name w:val="Tekst przypisu końcowego Znak"/>
    <w:basedOn w:val="Domylnaczcionkaakapitu"/>
    <w:link w:val="Tekstprzypisukocowego"/>
    <w:uiPriority w:val="99"/>
    <w:semiHidden/>
    <w:rsid w:val="0074017C"/>
    <w:rPr>
      <w:rFonts w:ascii="Tahoma" w:eastAsia="Times New Roman" w:hAnsi="Tahoma" w:cs="Times New Roman"/>
      <w:sz w:val="20"/>
      <w:szCs w:val="20"/>
      <w:lang w:eastAsia="pl-PL"/>
    </w:rPr>
  </w:style>
  <w:style w:type="character" w:styleId="Odwoanieprzypisukocowego">
    <w:name w:val="endnote reference"/>
    <w:basedOn w:val="Domylnaczcionkaakapitu"/>
    <w:uiPriority w:val="99"/>
    <w:semiHidden/>
    <w:unhideWhenUsed/>
    <w:rsid w:val="0074017C"/>
    <w:rPr>
      <w:vertAlign w:val="superscript"/>
    </w:rPr>
  </w:style>
  <w:style w:type="paragraph" w:styleId="Tekstprzypisudolnego">
    <w:name w:val="footnote text"/>
    <w:basedOn w:val="Normalny"/>
    <w:link w:val="TekstprzypisudolnegoZnak"/>
    <w:uiPriority w:val="99"/>
    <w:semiHidden/>
    <w:unhideWhenUsed/>
    <w:rsid w:val="00D143E6"/>
    <w:rPr>
      <w:sz w:val="20"/>
    </w:rPr>
  </w:style>
  <w:style w:type="character" w:customStyle="1" w:styleId="TekstprzypisudolnegoZnak">
    <w:name w:val="Tekst przypisu dolnego Znak"/>
    <w:basedOn w:val="Domylnaczcionkaakapitu"/>
    <w:link w:val="Tekstprzypisudolnego"/>
    <w:uiPriority w:val="99"/>
    <w:semiHidden/>
    <w:rsid w:val="00D143E6"/>
    <w:rPr>
      <w:rFonts w:ascii="Tahoma" w:eastAsia="Times New Roman" w:hAnsi="Tahoma" w:cs="Times New Roman"/>
      <w:sz w:val="20"/>
      <w:szCs w:val="20"/>
      <w:lang w:eastAsia="pl-PL"/>
    </w:rPr>
  </w:style>
  <w:style w:type="character" w:styleId="Odwoanieprzypisudolnego">
    <w:name w:val="footnote reference"/>
    <w:basedOn w:val="Domylnaczcionkaakapitu"/>
    <w:uiPriority w:val="99"/>
    <w:semiHidden/>
    <w:unhideWhenUsed/>
    <w:rsid w:val="00D143E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800390">
      <w:bodyDiv w:val="1"/>
      <w:marLeft w:val="0"/>
      <w:marRight w:val="0"/>
      <w:marTop w:val="0"/>
      <w:marBottom w:val="0"/>
      <w:divBdr>
        <w:top w:val="none" w:sz="0" w:space="0" w:color="auto"/>
        <w:left w:val="none" w:sz="0" w:space="0" w:color="auto"/>
        <w:bottom w:val="none" w:sz="0" w:space="0" w:color="auto"/>
        <w:right w:val="none" w:sz="0" w:space="0" w:color="auto"/>
      </w:divBdr>
    </w:div>
    <w:div w:id="511341799">
      <w:bodyDiv w:val="1"/>
      <w:marLeft w:val="0"/>
      <w:marRight w:val="0"/>
      <w:marTop w:val="0"/>
      <w:marBottom w:val="0"/>
      <w:divBdr>
        <w:top w:val="none" w:sz="0" w:space="0" w:color="auto"/>
        <w:left w:val="none" w:sz="0" w:space="0" w:color="auto"/>
        <w:bottom w:val="none" w:sz="0" w:space="0" w:color="auto"/>
        <w:right w:val="none" w:sz="0" w:space="0" w:color="auto"/>
      </w:divBdr>
    </w:div>
    <w:div w:id="1650786891">
      <w:bodyDiv w:val="1"/>
      <w:marLeft w:val="0"/>
      <w:marRight w:val="0"/>
      <w:marTop w:val="0"/>
      <w:marBottom w:val="0"/>
      <w:divBdr>
        <w:top w:val="none" w:sz="0" w:space="0" w:color="auto"/>
        <w:left w:val="none" w:sz="0" w:space="0" w:color="auto"/>
        <w:bottom w:val="none" w:sz="0" w:space="0" w:color="auto"/>
        <w:right w:val="none" w:sz="0" w:space="0" w:color="auto"/>
      </w:divBdr>
    </w:div>
    <w:div w:id="1886795306">
      <w:bodyDiv w:val="1"/>
      <w:marLeft w:val="0"/>
      <w:marRight w:val="0"/>
      <w:marTop w:val="0"/>
      <w:marBottom w:val="0"/>
      <w:divBdr>
        <w:top w:val="none" w:sz="0" w:space="0" w:color="auto"/>
        <w:left w:val="none" w:sz="0" w:space="0" w:color="auto"/>
        <w:bottom w:val="none" w:sz="0" w:space="0" w:color="auto"/>
        <w:right w:val="none" w:sz="0" w:space="0" w:color="auto"/>
      </w:divBdr>
    </w:div>
    <w:div w:id="1890074513">
      <w:bodyDiv w:val="1"/>
      <w:marLeft w:val="0"/>
      <w:marRight w:val="0"/>
      <w:marTop w:val="0"/>
      <w:marBottom w:val="0"/>
      <w:divBdr>
        <w:top w:val="none" w:sz="0" w:space="0" w:color="auto"/>
        <w:left w:val="none" w:sz="0" w:space="0" w:color="auto"/>
        <w:bottom w:val="none" w:sz="0" w:space="0" w:color="auto"/>
        <w:right w:val="none" w:sz="0" w:space="0" w:color="auto"/>
      </w:divBdr>
    </w:div>
    <w:div w:id="1982228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6D0497-79EA-452E-B33A-0F3C7E8CF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1407</Words>
  <Characters>8376</Characters>
  <Application>Microsoft Office Word</Application>
  <DocSecurity>0</DocSecurity>
  <Lines>117</Lines>
  <Paragraphs>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remigiusz.krok@gmail.com</dc:creator>
  <cp:keywords/>
  <dc:description/>
  <cp:lastModifiedBy>pastor Remigiusz Krok</cp:lastModifiedBy>
  <cp:revision>4</cp:revision>
  <cp:lastPrinted>2021-01-27T17:24:00Z</cp:lastPrinted>
  <dcterms:created xsi:type="dcterms:W3CDTF">2022-01-27T10:37:00Z</dcterms:created>
  <dcterms:modified xsi:type="dcterms:W3CDTF">2022-01-27T10:51:00Z</dcterms:modified>
</cp:coreProperties>
</file>