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1B224C">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224C">
        <w:rPr>
          <w:rFonts w:ascii="Times New Roman" w:hAnsi="Times New Roman" w:cs="Times New Roman"/>
        </w:rPr>
        <w:t>13 kwie</w:t>
      </w:r>
      <w:r w:rsidR="00494E98">
        <w:rPr>
          <w:rFonts w:ascii="Times New Roman" w:hAnsi="Times New Roman" w:cs="Times New Roman"/>
        </w:rPr>
        <w:t>t</w:t>
      </w:r>
      <w:r w:rsidR="001B224C">
        <w:rPr>
          <w:rFonts w:ascii="Times New Roman" w:hAnsi="Times New Roman" w:cs="Times New Roman"/>
        </w:rPr>
        <w:t>nia</w:t>
      </w:r>
    </w:p>
    <w:p w:rsidR="00E84093" w:rsidRPr="008C25AF" w:rsidRDefault="001B224C" w:rsidP="008C25AF">
      <w:pPr>
        <w:jc w:val="center"/>
        <w:rPr>
          <w:rFonts w:ascii="Times New Roman" w:hAnsi="Times New Roman" w:cs="Times New Roman"/>
          <w:b/>
          <w:sz w:val="36"/>
        </w:rPr>
      </w:pPr>
      <w:r>
        <w:rPr>
          <w:rFonts w:ascii="Times New Roman" w:hAnsi="Times New Roman" w:cs="Times New Roman"/>
          <w:b/>
          <w:sz w:val="36"/>
        </w:rPr>
        <w:t>WYBORY, KTÓRYCH DOKONUJEMY</w:t>
      </w:r>
      <w:bookmarkStart w:id="0" w:name="_GoBack"/>
      <w:bookmarkEnd w:id="0"/>
    </w:p>
    <w:p w:rsidR="001B224C" w:rsidRPr="00EB6885" w:rsidRDefault="001B224C" w:rsidP="001B224C">
      <w:pPr>
        <w:rPr>
          <w:rFonts w:ascii="Times New Roman" w:hAnsi="Times New Roman" w:cs="Times New Roman"/>
          <w:lang w:val="en-US"/>
        </w:rPr>
      </w:pPr>
      <w:r w:rsidRPr="00EB6885">
        <w:rPr>
          <w:rFonts w:ascii="Times New Roman" w:hAnsi="Times New Roman" w:cs="Times New Roman"/>
          <w:b/>
          <w:lang w:val="en-US"/>
        </w:rPr>
        <w:t>PRZEGLĄD</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Wybory są tą częścią naszego życia, która często wymyka się naszej bezpośredniej uwadze. Wskutek tego dokonywane są niewłaściwe wybory, które pociągają za sobą złe konsekwencje. Mimo to takie same wybory są powtarzane raz po raz. W tej lekcji zastanowimy się krótko nad naturą wyboru, a następnie nad tym, jak ważne wybory w naszym życiu mogą zostać dokonane w pobożny sposób.</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Kiedy mówimy o wyborze, mamy zazwyczaj na myśli wolny wybór. Jedną z najwspanialszych rzeczy, jakie otrzymaliśmy od Boga, jest wolność wyboru oparta na moralnym wartościowaniu. Bez tego daru nie bylibyśmy w stanie nawet docenić wszystkich pozostałych darów. Bez niego nasza odpowiedź miłości i czci dla Boga nie mogłaby być autentyczna. Prawdziwa wolność umożliwia istnienie prawdziwej miłości. Jednak taka wolność siłą rzeczy musi uwzględniać możliwość zaistnienia zła. Jak dobrze wiemy, ta możliwość niestety została zrealizowana i dotkliwie jest realizowana od czasu upadku pierwszych ludzi.</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Ale choć zło spowiło naszą planetę duchową ciemnością, Bóg ochronił i przechował źródła światła dla nas, by pomogły nam odnaleźć drogę. Często próbujemy zrzucić na Boga odpowiedzialność za problemy i cierpienie w naszym życiu. Jednak w wielu przypadkach uczciwe zastanowienie wykazuje, że często lekceważymy źródła Bożej mądrości, która zapobiegłaby naszym problemom, gdybyśmy przyjęli ją tak, jak powinniśmy. Nasz Bóg jest Bogiem objawienia (i cierpliwości). Zwraca się do nas za pośrednictwem przyrody (</w:t>
      </w:r>
      <w:proofErr w:type="spellStart"/>
      <w:r w:rsidRPr="00EB6885">
        <w:rPr>
          <w:rFonts w:ascii="Times New Roman" w:hAnsi="Times New Roman" w:cs="Times New Roman"/>
        </w:rPr>
        <w:t>Ps</w:t>
      </w:r>
      <w:proofErr w:type="spellEnd"/>
      <w:r w:rsidRPr="00EB6885">
        <w:rPr>
          <w:rFonts w:ascii="Times New Roman" w:hAnsi="Times New Roman" w:cs="Times New Roman"/>
        </w:rPr>
        <w:t xml:space="preserve"> 19,2-4; </w:t>
      </w:r>
      <w:proofErr w:type="spellStart"/>
      <w:r w:rsidRPr="00EB6885">
        <w:rPr>
          <w:rFonts w:ascii="Times New Roman" w:hAnsi="Times New Roman" w:cs="Times New Roman"/>
        </w:rPr>
        <w:t>Rz</w:t>
      </w:r>
      <w:proofErr w:type="spellEnd"/>
      <w:r w:rsidRPr="00EB6885">
        <w:rPr>
          <w:rFonts w:ascii="Times New Roman" w:hAnsi="Times New Roman" w:cs="Times New Roman"/>
        </w:rPr>
        <w:t xml:space="preserve"> 1,20), modlitwy (Mt 21,22; </w:t>
      </w:r>
      <w:proofErr w:type="spellStart"/>
      <w:r w:rsidRPr="00EB6885">
        <w:rPr>
          <w:rFonts w:ascii="Times New Roman" w:hAnsi="Times New Roman" w:cs="Times New Roman"/>
        </w:rPr>
        <w:t>Jk</w:t>
      </w:r>
      <w:proofErr w:type="spellEnd"/>
      <w:r w:rsidRPr="00EB6885">
        <w:rPr>
          <w:rFonts w:ascii="Times New Roman" w:hAnsi="Times New Roman" w:cs="Times New Roman"/>
        </w:rPr>
        <w:t xml:space="preserve"> 1,5), </w:t>
      </w:r>
      <w:r w:rsidRPr="00EB6885">
        <w:rPr>
          <w:rFonts w:ascii="Times New Roman" w:hAnsi="Times New Roman" w:cs="Times New Roman"/>
          <w:i/>
          <w:iCs/>
        </w:rPr>
        <w:t>Pisma Świętego</w:t>
      </w:r>
      <w:r w:rsidRPr="00EB6885">
        <w:rPr>
          <w:rFonts w:ascii="Times New Roman" w:hAnsi="Times New Roman" w:cs="Times New Roman"/>
        </w:rPr>
        <w:t xml:space="preserve"> (</w:t>
      </w:r>
      <w:proofErr w:type="spellStart"/>
      <w:r w:rsidRPr="00EB6885">
        <w:rPr>
          <w:rFonts w:ascii="Times New Roman" w:hAnsi="Times New Roman" w:cs="Times New Roman"/>
        </w:rPr>
        <w:t>Ps</w:t>
      </w:r>
      <w:proofErr w:type="spellEnd"/>
      <w:r w:rsidRPr="00EB6885">
        <w:rPr>
          <w:rFonts w:ascii="Times New Roman" w:hAnsi="Times New Roman" w:cs="Times New Roman"/>
        </w:rPr>
        <w:t xml:space="preserve"> 119,105; 2 Tm 3,16), pobożnych doradców (</w:t>
      </w:r>
      <w:proofErr w:type="spellStart"/>
      <w:r w:rsidRPr="00EB6885">
        <w:rPr>
          <w:rFonts w:ascii="Times New Roman" w:hAnsi="Times New Roman" w:cs="Times New Roman"/>
        </w:rPr>
        <w:t>Prz</w:t>
      </w:r>
      <w:proofErr w:type="spellEnd"/>
      <w:r w:rsidRPr="00EB6885">
        <w:rPr>
          <w:rFonts w:ascii="Times New Roman" w:hAnsi="Times New Roman" w:cs="Times New Roman"/>
        </w:rPr>
        <w:t xml:space="preserve"> 11,14; 15,22) i przede wszystkim przez życie i nauczanie Jezusa (</w:t>
      </w:r>
      <w:proofErr w:type="spellStart"/>
      <w:r w:rsidRPr="00EB6885">
        <w:rPr>
          <w:rFonts w:ascii="Times New Roman" w:hAnsi="Times New Roman" w:cs="Times New Roman"/>
        </w:rPr>
        <w:t>Hbr</w:t>
      </w:r>
      <w:proofErr w:type="spellEnd"/>
      <w:r w:rsidRPr="00EB6885">
        <w:rPr>
          <w:rFonts w:ascii="Times New Roman" w:hAnsi="Times New Roman" w:cs="Times New Roman"/>
        </w:rPr>
        <w:t xml:space="preserve"> 1,2-3). To są światła dane nam przez Boga w świecie. Dokonując ważnych wyborów, powinniśmy kierować się tymi światłami, zwłaszcza gdy wybory te dotyczą kwestii wskazanych w lekcji: (1) wyboru przyjaciół, (2) wyboru życiowego partnera i (3) wyboru zawodu.</w:t>
      </w:r>
    </w:p>
    <w:p w:rsidR="001B224C" w:rsidRPr="00EB6885" w:rsidRDefault="001B224C" w:rsidP="001B224C">
      <w:pPr>
        <w:rPr>
          <w:rFonts w:ascii="Times New Roman" w:hAnsi="Times New Roman" w:cs="Times New Roman"/>
        </w:rPr>
      </w:pPr>
    </w:p>
    <w:p w:rsidR="001B224C" w:rsidRPr="00EB6885" w:rsidRDefault="001B224C" w:rsidP="001B224C">
      <w:pPr>
        <w:rPr>
          <w:rFonts w:ascii="Times New Roman" w:hAnsi="Times New Roman" w:cs="Times New Roman"/>
          <w:lang w:val="en-US"/>
        </w:rPr>
      </w:pPr>
      <w:r w:rsidRPr="00EB6885">
        <w:rPr>
          <w:rFonts w:ascii="Times New Roman" w:hAnsi="Times New Roman" w:cs="Times New Roman"/>
          <w:b/>
          <w:lang w:val="en-US"/>
        </w:rPr>
        <w:t>KOMENTARZ</w:t>
      </w:r>
    </w:p>
    <w:p w:rsidR="001B224C" w:rsidRPr="00EB6885" w:rsidRDefault="001B224C" w:rsidP="001B224C">
      <w:pPr>
        <w:rPr>
          <w:rFonts w:ascii="Times New Roman" w:hAnsi="Times New Roman" w:cs="Times New Roman"/>
        </w:rPr>
      </w:pPr>
      <w:r w:rsidRPr="00EB6885">
        <w:rPr>
          <w:rFonts w:ascii="Times New Roman" w:hAnsi="Times New Roman" w:cs="Times New Roman"/>
          <w:b/>
          <w:bCs/>
        </w:rPr>
        <w:t>Motywacja chrześcijańskiej etyki</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Jesteśmy tym, kim jesteśmy, właśnie w wyniku naszych wyborów. Jesteśmy tu, gdzie jesteśmy, w wyniku naszych wyborów. Oczywiście, także wybory innych ludzi wpływały na nasze życie, bo</w:t>
      </w:r>
      <w:r w:rsidR="00E517F1">
        <w:rPr>
          <w:rFonts w:ascii="Times New Roman" w:hAnsi="Times New Roman" w:cs="Times New Roman"/>
        </w:rPr>
        <w:t> </w:t>
      </w:r>
      <w:r w:rsidRPr="00EB6885">
        <w:rPr>
          <w:rFonts w:ascii="Times New Roman" w:hAnsi="Times New Roman" w:cs="Times New Roman"/>
        </w:rPr>
        <w:t xml:space="preserve"> jesteśmy zależni od innych, ale to, jak </w:t>
      </w:r>
      <w:r w:rsidRPr="00EB6885">
        <w:rPr>
          <w:rFonts w:ascii="Times New Roman" w:hAnsi="Times New Roman" w:cs="Times New Roman"/>
          <w:i/>
          <w:iCs/>
        </w:rPr>
        <w:t>reagujemy</w:t>
      </w:r>
      <w:r w:rsidRPr="00EB6885">
        <w:rPr>
          <w:rFonts w:ascii="Times New Roman" w:hAnsi="Times New Roman" w:cs="Times New Roman"/>
        </w:rPr>
        <w:t xml:space="preserve"> na te wybory, zależy przede wszystkim od nas samych. Ta świadomość sprawia, że czujemy się odpowiedzialni za naszą sytuację, a jednocześnie zmusza nas do przyznani, że pewne zdarzenia w naszym życiu są poza naszą kontrolą. Życiowe konsekwencje naszych wyborów mogą być niewyobrażalne. Tak więc należałoby się spodziewać, że wszyscy dołożą starań, by zbadać naturę procesu dokonywania moralnych wyborów i w wyniku tego świadomie przyjmą najrozsądniejsze ramy etyczne. Niestety, przeciętni ludzie więcej czasu poświęcają na wybór nowego komputera niż wybór systemu etycznego, którym kierują się w życiu.</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Łatwizna, trendy kulturowe, nacisk środowiska, emocje, nawyki i upodobania to niepewne drogowskazy w podejmowaniu wyborów mających prowadzić do życia takiego, jakie Bóg zamierzył dla nas. Opieranie naszych decyzji na tak niepewnych podstawach jest po prostu niemądre. Wszyscy ludzie, bez względu na światopogląd, powinni zadać sobie pytanie: Na czym opieram moje decyzje?</w:t>
      </w:r>
    </w:p>
    <w:p w:rsidR="001B224C" w:rsidRPr="00EB6885" w:rsidRDefault="001B224C" w:rsidP="001B224C">
      <w:pPr>
        <w:jc w:val="both"/>
        <w:rPr>
          <w:rFonts w:ascii="Times New Roman" w:hAnsi="Times New Roman" w:cs="Times New Roman"/>
        </w:rPr>
      </w:pPr>
    </w:p>
    <w:p w:rsidR="001B224C" w:rsidRPr="00EB6885" w:rsidRDefault="001B224C" w:rsidP="001B224C">
      <w:pPr>
        <w:rPr>
          <w:rFonts w:ascii="Times New Roman" w:hAnsi="Times New Roman" w:cs="Times New Roman"/>
          <w:bCs/>
        </w:rPr>
      </w:pPr>
      <w:r w:rsidRPr="00EB6885">
        <w:rPr>
          <w:rFonts w:ascii="Times New Roman" w:hAnsi="Times New Roman" w:cs="Times New Roman"/>
          <w:b/>
        </w:rPr>
        <w:lastRenderedPageBreak/>
        <w:t>Podstawy chrześcijańskiej etyki</w:t>
      </w:r>
    </w:p>
    <w:p w:rsidR="001B224C" w:rsidRPr="00EB6885" w:rsidRDefault="001B224C" w:rsidP="001B224C">
      <w:pPr>
        <w:ind w:firstLine="708"/>
        <w:jc w:val="both"/>
        <w:rPr>
          <w:rFonts w:ascii="Times New Roman" w:hAnsi="Times New Roman" w:cs="Times New Roman"/>
          <w:bCs/>
        </w:rPr>
      </w:pPr>
      <w:r w:rsidRPr="00EB6885">
        <w:rPr>
          <w:rFonts w:ascii="Times New Roman" w:hAnsi="Times New Roman" w:cs="Times New Roman"/>
          <w:bCs/>
        </w:rPr>
        <w:t>Fundamentem chrześcijańskiej etyki jest fakt, iż zostaliśmy stworzeni na obraz Boga (Rdz 1,27). Wszystkie nasze decyzje powinny być podejmowane w świetle tego faktu. Im większe jest nasze poznanie charakteru Boga, tym szerszy jest nasz etyczny horyzont i tym chwalebniejsza jawi się nasza przyszłość (2 Kor 3,18). Jak obraz Boga może zostać przywrócony i zachowany z wyboru na wybór?</w:t>
      </w:r>
    </w:p>
    <w:p w:rsidR="001B224C" w:rsidRPr="00EB6885" w:rsidRDefault="001B224C" w:rsidP="001B224C">
      <w:pPr>
        <w:ind w:firstLine="708"/>
        <w:jc w:val="both"/>
        <w:rPr>
          <w:rFonts w:ascii="Times New Roman" w:hAnsi="Times New Roman" w:cs="Times New Roman"/>
          <w:bCs/>
        </w:rPr>
      </w:pPr>
      <w:r w:rsidRPr="00EB6885">
        <w:rPr>
          <w:rFonts w:ascii="Times New Roman" w:hAnsi="Times New Roman" w:cs="Times New Roman"/>
          <w:bCs/>
        </w:rPr>
        <w:t>Odpowiadając na to pytanie, zastanów się nad poniższą anegdotą. Pewnego razu ktoś zapytał Michała Anioła o to, jak wyrzeźbił posąg Dawida:</w:t>
      </w:r>
    </w:p>
    <w:p w:rsidR="001B224C" w:rsidRPr="00EB6885" w:rsidRDefault="001B224C" w:rsidP="001B224C">
      <w:pPr>
        <w:ind w:firstLine="708"/>
        <w:jc w:val="both"/>
        <w:rPr>
          <w:rFonts w:ascii="Times New Roman" w:hAnsi="Times New Roman" w:cs="Times New Roman"/>
          <w:bCs/>
        </w:rPr>
      </w:pPr>
      <w:r w:rsidRPr="00EB6885">
        <w:rPr>
          <w:rFonts w:ascii="Times New Roman" w:hAnsi="Times New Roman" w:cs="Times New Roman"/>
          <w:bCs/>
        </w:rPr>
        <w:t>- Jak to możliwe, że stworzyłeś takie arcydzieło z bloku marmuru?</w:t>
      </w:r>
    </w:p>
    <w:p w:rsidR="001B224C" w:rsidRPr="00EB6885" w:rsidRDefault="001B224C" w:rsidP="001B224C">
      <w:pPr>
        <w:ind w:firstLine="708"/>
        <w:jc w:val="both"/>
        <w:rPr>
          <w:rFonts w:ascii="Times New Roman" w:hAnsi="Times New Roman" w:cs="Times New Roman"/>
          <w:bCs/>
        </w:rPr>
      </w:pPr>
      <w:r w:rsidRPr="00EB6885">
        <w:rPr>
          <w:rFonts w:ascii="Times New Roman" w:hAnsi="Times New Roman" w:cs="Times New Roman"/>
          <w:bCs/>
        </w:rPr>
        <w:t>- Po prostu usunąłem wszystko, co nie wyglądało jak Dawid - odpowiedział artysta.</w:t>
      </w:r>
    </w:p>
    <w:p w:rsidR="001B224C" w:rsidRPr="00EB6885" w:rsidRDefault="001B224C" w:rsidP="001B224C">
      <w:pPr>
        <w:ind w:firstLine="708"/>
        <w:jc w:val="both"/>
        <w:rPr>
          <w:rFonts w:ascii="Times New Roman" w:hAnsi="Times New Roman" w:cs="Times New Roman"/>
          <w:bCs/>
        </w:rPr>
      </w:pPr>
      <w:r w:rsidRPr="00EB6885">
        <w:rPr>
          <w:rFonts w:ascii="Times New Roman" w:hAnsi="Times New Roman" w:cs="Times New Roman"/>
          <w:bCs/>
        </w:rPr>
        <w:t>Możemy podjąć decyzję, by czynić jedynie to, co jest podobne do Jezusa, a usunąć z naszego życia wszystko, co nie jest do Niego podobne. Pamięć o naszym powołaniu do noszenia podobieństwa do Boga jest niezbędnym elementem praktycznego stosowania chrześcijańskiej etyki. Jednak potrzebujemy więcej wsparcia i wskazówek niż możemy uzyskać zadając sobie pytanie: „Co Jezus zrobiłby na moim miejscu?”.</w:t>
      </w:r>
    </w:p>
    <w:p w:rsidR="001B224C" w:rsidRPr="00EB6885" w:rsidRDefault="001B224C" w:rsidP="001B224C">
      <w:pPr>
        <w:rPr>
          <w:rFonts w:ascii="Times New Roman" w:hAnsi="Times New Roman" w:cs="Times New Roman"/>
          <w:bCs/>
        </w:rPr>
      </w:pPr>
    </w:p>
    <w:p w:rsidR="001B224C" w:rsidRPr="00EB6885" w:rsidRDefault="001B224C" w:rsidP="001B224C">
      <w:pPr>
        <w:rPr>
          <w:rFonts w:ascii="Times New Roman" w:hAnsi="Times New Roman" w:cs="Times New Roman"/>
        </w:rPr>
      </w:pPr>
      <w:r w:rsidRPr="00EB6885">
        <w:rPr>
          <w:rFonts w:ascii="Times New Roman" w:hAnsi="Times New Roman" w:cs="Times New Roman"/>
          <w:b/>
          <w:bCs/>
        </w:rPr>
        <w:t>Źródło chrześcijańskiej etyki</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 xml:space="preserve">Nauki </w:t>
      </w:r>
      <w:r w:rsidRPr="00EB6885">
        <w:rPr>
          <w:rFonts w:ascii="Times New Roman" w:hAnsi="Times New Roman" w:cs="Times New Roman"/>
          <w:i/>
          <w:iCs/>
        </w:rPr>
        <w:t>Biblii</w:t>
      </w:r>
      <w:r w:rsidRPr="00EB6885">
        <w:rPr>
          <w:rFonts w:ascii="Times New Roman" w:hAnsi="Times New Roman" w:cs="Times New Roman"/>
        </w:rPr>
        <w:t xml:space="preserve"> stanowią podstawę chrześcijańskiej etyki. Adwentystyczny etyk Miroslav </w:t>
      </w:r>
      <w:proofErr w:type="spellStart"/>
      <w:r w:rsidRPr="00EB6885">
        <w:rPr>
          <w:rFonts w:ascii="Times New Roman" w:hAnsi="Times New Roman" w:cs="Times New Roman"/>
          <w:lang w:val="en-US"/>
        </w:rPr>
        <w:t>Kiš</w:t>
      </w:r>
      <w:proofErr w:type="spellEnd"/>
      <w:r w:rsidRPr="00EB6885">
        <w:rPr>
          <w:rFonts w:ascii="Times New Roman" w:hAnsi="Times New Roman" w:cs="Times New Roman"/>
          <w:lang w:val="en-US"/>
        </w:rPr>
        <w:t xml:space="preserve"> </w:t>
      </w:r>
      <w:r w:rsidRPr="00EB6885">
        <w:rPr>
          <w:rFonts w:ascii="Times New Roman" w:hAnsi="Times New Roman" w:cs="Times New Roman"/>
        </w:rPr>
        <w:t xml:space="preserve">zdefiniował trzy szkła powiększające, które pomagają nam przyjrzeć się etycznej mądrości płynącej z </w:t>
      </w:r>
      <w:r w:rsidRPr="00EB6885">
        <w:rPr>
          <w:rFonts w:ascii="Times New Roman" w:hAnsi="Times New Roman" w:cs="Times New Roman"/>
          <w:i/>
          <w:iCs/>
        </w:rPr>
        <w:t>Pisma Świętego</w:t>
      </w:r>
      <w:r w:rsidRPr="00EB6885">
        <w:rPr>
          <w:rFonts w:ascii="Times New Roman" w:hAnsi="Times New Roman" w:cs="Times New Roman"/>
        </w:rPr>
        <w:t xml:space="preserve"> (zob. </w:t>
      </w:r>
      <w:r w:rsidRPr="00EB6885">
        <w:rPr>
          <w:rFonts w:ascii="Times New Roman" w:hAnsi="Times New Roman" w:cs="Times New Roman"/>
          <w:lang w:val="en-US"/>
        </w:rPr>
        <w:t xml:space="preserve">Miroslav </w:t>
      </w:r>
      <w:proofErr w:type="spellStart"/>
      <w:r w:rsidRPr="00EB6885">
        <w:rPr>
          <w:rFonts w:ascii="Times New Roman" w:hAnsi="Times New Roman" w:cs="Times New Roman"/>
          <w:lang w:val="en-US"/>
        </w:rPr>
        <w:t>Kiš</w:t>
      </w:r>
      <w:proofErr w:type="spellEnd"/>
      <w:r w:rsidRPr="00EB6885">
        <w:rPr>
          <w:rFonts w:ascii="Times New Roman" w:hAnsi="Times New Roman" w:cs="Times New Roman"/>
          <w:lang w:val="en-US"/>
        </w:rPr>
        <w:t xml:space="preserve">, „Biblical Narratives and Christian Decision”, </w:t>
      </w:r>
      <w:r w:rsidRPr="00EB6885">
        <w:rPr>
          <w:rFonts w:ascii="Times New Roman" w:hAnsi="Times New Roman" w:cs="Times New Roman"/>
          <w:i/>
          <w:iCs/>
          <w:lang w:val="en-US"/>
        </w:rPr>
        <w:t>Journal of the Adventist Theological Society</w:t>
      </w:r>
      <w:r w:rsidRPr="00EB6885">
        <w:rPr>
          <w:rFonts w:ascii="Times New Roman" w:hAnsi="Times New Roman" w:cs="Times New Roman"/>
          <w:lang w:val="en-US"/>
        </w:rPr>
        <w:t xml:space="preserve"> 9, 1-2/1998, s. 24-31</w:t>
      </w:r>
      <w:r w:rsidRPr="00EB6885">
        <w:rPr>
          <w:rFonts w:ascii="Times New Roman" w:hAnsi="Times New Roman" w:cs="Times New Roman"/>
        </w:rPr>
        <w:t>). Te trzy szkła powiększające to: (1) zasady, (2) reguły postępowania i (3) wzorce normatywne. Ponieważ te szkła powiększające są stosunkowo proste do zrozumienia i tylko, wypisz je na tablicy, jeśli jest dostępna, i poproś uczestników lekcji, by je zapamiętali.</w:t>
      </w:r>
    </w:p>
    <w:p w:rsidR="001B224C" w:rsidRPr="00EB6885" w:rsidRDefault="001B224C" w:rsidP="001B224C">
      <w:pPr>
        <w:jc w:val="both"/>
        <w:rPr>
          <w:rFonts w:ascii="Times New Roman" w:hAnsi="Times New Roman" w:cs="Times New Roman"/>
        </w:rPr>
      </w:pPr>
      <w:r w:rsidRPr="00EB6885">
        <w:rPr>
          <w:rFonts w:ascii="Times New Roman" w:hAnsi="Times New Roman" w:cs="Times New Roman"/>
          <w:b/>
          <w:bCs/>
        </w:rPr>
        <w:t>Zasady</w:t>
      </w:r>
      <w:r w:rsidRPr="00EB6885">
        <w:rPr>
          <w:rFonts w:ascii="Times New Roman" w:hAnsi="Times New Roman" w:cs="Times New Roman"/>
        </w:rPr>
        <w:t>. Są one ugruntowane na naszym fundamentalnym zrozumieniu moralnej prawdy. Są ogólne i</w:t>
      </w:r>
      <w:r w:rsidR="00E517F1">
        <w:rPr>
          <w:rFonts w:ascii="Times New Roman" w:hAnsi="Times New Roman" w:cs="Times New Roman"/>
        </w:rPr>
        <w:t> </w:t>
      </w:r>
      <w:r w:rsidRPr="00EB6885">
        <w:rPr>
          <w:rFonts w:ascii="Times New Roman" w:hAnsi="Times New Roman" w:cs="Times New Roman"/>
        </w:rPr>
        <w:t xml:space="preserve"> niezmienne, a przy tym potrzebują dalszego objaśnienia w </w:t>
      </w:r>
      <w:r w:rsidRPr="00EB6885">
        <w:rPr>
          <w:rFonts w:ascii="Times New Roman" w:hAnsi="Times New Roman" w:cs="Times New Roman"/>
          <w:i/>
          <w:iCs/>
        </w:rPr>
        <w:t>Piśmie Świętym</w:t>
      </w:r>
      <w:r w:rsidRPr="00EB6885">
        <w:rPr>
          <w:rFonts w:ascii="Times New Roman" w:hAnsi="Times New Roman" w:cs="Times New Roman"/>
        </w:rPr>
        <w:t xml:space="preserve">. Dziesięcioro Przykazań, </w:t>
      </w:r>
      <w:r w:rsidRPr="00EB6885">
        <w:rPr>
          <w:rFonts w:ascii="Times New Roman" w:hAnsi="Times New Roman" w:cs="Times New Roman"/>
          <w:i/>
          <w:iCs/>
        </w:rPr>
        <w:t>Księga Psalmów</w:t>
      </w:r>
      <w:r w:rsidRPr="00EB6885">
        <w:rPr>
          <w:rFonts w:ascii="Times New Roman" w:hAnsi="Times New Roman" w:cs="Times New Roman"/>
        </w:rPr>
        <w:t xml:space="preserve">, </w:t>
      </w:r>
      <w:r w:rsidRPr="00EB6885">
        <w:rPr>
          <w:rFonts w:ascii="Times New Roman" w:hAnsi="Times New Roman" w:cs="Times New Roman"/>
          <w:i/>
          <w:iCs/>
        </w:rPr>
        <w:t xml:space="preserve">Księga </w:t>
      </w:r>
      <w:proofErr w:type="spellStart"/>
      <w:r w:rsidRPr="00EB6885">
        <w:rPr>
          <w:rFonts w:ascii="Times New Roman" w:hAnsi="Times New Roman" w:cs="Times New Roman"/>
          <w:i/>
          <w:iCs/>
        </w:rPr>
        <w:t>Koheleta</w:t>
      </w:r>
      <w:proofErr w:type="spellEnd"/>
      <w:r w:rsidRPr="00EB6885">
        <w:rPr>
          <w:rFonts w:ascii="Times New Roman" w:hAnsi="Times New Roman" w:cs="Times New Roman"/>
        </w:rPr>
        <w:t xml:space="preserve">, </w:t>
      </w:r>
      <w:r w:rsidRPr="00EB6885">
        <w:rPr>
          <w:rFonts w:ascii="Times New Roman" w:hAnsi="Times New Roman" w:cs="Times New Roman"/>
          <w:i/>
          <w:iCs/>
        </w:rPr>
        <w:t>Księga Przysłów</w:t>
      </w:r>
      <w:r w:rsidRPr="00EB6885">
        <w:rPr>
          <w:rFonts w:ascii="Times New Roman" w:hAnsi="Times New Roman" w:cs="Times New Roman"/>
        </w:rPr>
        <w:t xml:space="preserve">, </w:t>
      </w:r>
      <w:r w:rsidRPr="00EB6885">
        <w:rPr>
          <w:rFonts w:ascii="Times New Roman" w:hAnsi="Times New Roman" w:cs="Times New Roman"/>
          <w:i/>
          <w:iCs/>
        </w:rPr>
        <w:t>Ewangelie</w:t>
      </w:r>
      <w:r w:rsidRPr="00EB6885">
        <w:rPr>
          <w:rFonts w:ascii="Times New Roman" w:hAnsi="Times New Roman" w:cs="Times New Roman"/>
        </w:rPr>
        <w:t xml:space="preserve"> (w tym zwłaszcza Kazanie na Górze) i listy apostolskie są postrzegane jako źródła zasad moralnych obejmujących całe życie człowieka. Unikanie cudzołóstwa i czynienie innym tego, czego oczekuje się od nich to przykłady tych ponadczasowych zasad (</w:t>
      </w:r>
      <w:proofErr w:type="spellStart"/>
      <w:r w:rsidRPr="00EB6885">
        <w:rPr>
          <w:rFonts w:ascii="Times New Roman" w:hAnsi="Times New Roman" w:cs="Times New Roman"/>
        </w:rPr>
        <w:t>Wj</w:t>
      </w:r>
      <w:proofErr w:type="spellEnd"/>
      <w:r w:rsidRPr="00EB6885">
        <w:rPr>
          <w:rFonts w:ascii="Times New Roman" w:hAnsi="Times New Roman" w:cs="Times New Roman"/>
        </w:rPr>
        <w:t xml:space="preserve"> 20,14; Mt 7,12).</w:t>
      </w:r>
    </w:p>
    <w:p w:rsidR="001B224C" w:rsidRPr="00EB6885" w:rsidRDefault="001B224C" w:rsidP="001B224C">
      <w:pPr>
        <w:jc w:val="both"/>
        <w:rPr>
          <w:rFonts w:ascii="Times New Roman" w:hAnsi="Times New Roman" w:cs="Times New Roman"/>
        </w:rPr>
      </w:pPr>
      <w:r w:rsidRPr="00EB6885">
        <w:rPr>
          <w:rFonts w:ascii="Times New Roman" w:hAnsi="Times New Roman" w:cs="Times New Roman"/>
          <w:b/>
          <w:bCs/>
        </w:rPr>
        <w:t>Reguły postępowania</w:t>
      </w:r>
      <w:r w:rsidRPr="00EB6885">
        <w:rPr>
          <w:rFonts w:ascii="Times New Roman" w:hAnsi="Times New Roman" w:cs="Times New Roman"/>
        </w:rPr>
        <w:t xml:space="preserve">. Są to szczegółowe reguły wypływające z ogólnych zasad i odnoszące się do konkretnych sytuacji. Boży nakaz dla Gedeona, by zburzyć ołtarz Baala i wznieść ołtarz dla </w:t>
      </w:r>
      <w:proofErr w:type="spellStart"/>
      <w:r w:rsidRPr="00EB6885">
        <w:rPr>
          <w:rFonts w:ascii="Times New Roman" w:hAnsi="Times New Roman" w:cs="Times New Roman"/>
        </w:rPr>
        <w:t>Jahwe</w:t>
      </w:r>
      <w:proofErr w:type="spellEnd"/>
      <w:r w:rsidRPr="00EB6885">
        <w:rPr>
          <w:rFonts w:ascii="Times New Roman" w:hAnsi="Times New Roman" w:cs="Times New Roman"/>
        </w:rPr>
        <w:t xml:space="preserve"> (</w:t>
      </w:r>
      <w:proofErr w:type="spellStart"/>
      <w:r w:rsidRPr="00EB6885">
        <w:rPr>
          <w:rFonts w:ascii="Times New Roman" w:hAnsi="Times New Roman" w:cs="Times New Roman"/>
        </w:rPr>
        <w:t>Sdz</w:t>
      </w:r>
      <w:proofErr w:type="spellEnd"/>
      <w:r w:rsidRPr="00EB6885">
        <w:rPr>
          <w:rFonts w:ascii="Times New Roman" w:hAnsi="Times New Roman" w:cs="Times New Roman"/>
        </w:rPr>
        <w:t xml:space="preserve"> 6,25-26), nakaz Jezusa dla bogatego młodzieńca, by sprzedał wszystko, co ma (Mt 19,21) i nakaz Jezus dla Piotra, by schował miecz (Mt 26,52) nie odnoszą się do nas bezpośrednio dzisiaj. Nie znaczy to jednak, że nie mają dla nas żadnego znaczenia. Kiedy zastanawiamy się nad kwestiami takimi jak oddawanie czci Bogu, bałwochwalstwo, szafowanie środkami materialnymi, priorytety życiowe czy użycie przemocy, nakazy te pomagają nam lepiej zrozumieć wolę Boga w określonych sytuacjach w</w:t>
      </w:r>
      <w:r w:rsidR="00E517F1">
        <w:rPr>
          <w:rFonts w:ascii="Times New Roman" w:hAnsi="Times New Roman" w:cs="Times New Roman"/>
        </w:rPr>
        <w:t> </w:t>
      </w:r>
      <w:r w:rsidRPr="00EB6885">
        <w:rPr>
          <w:rFonts w:ascii="Times New Roman" w:hAnsi="Times New Roman" w:cs="Times New Roman"/>
        </w:rPr>
        <w:t xml:space="preserve"> naszym życiu.</w:t>
      </w:r>
    </w:p>
    <w:p w:rsidR="001B224C" w:rsidRPr="00EB6885" w:rsidRDefault="001B224C" w:rsidP="001B224C">
      <w:pPr>
        <w:jc w:val="both"/>
        <w:rPr>
          <w:rFonts w:ascii="Times New Roman" w:hAnsi="Times New Roman" w:cs="Times New Roman"/>
        </w:rPr>
      </w:pPr>
      <w:r w:rsidRPr="00EB6885">
        <w:rPr>
          <w:rFonts w:ascii="Times New Roman" w:hAnsi="Times New Roman" w:cs="Times New Roman"/>
          <w:b/>
          <w:bCs/>
        </w:rPr>
        <w:t>Wzorce normatywne</w:t>
      </w:r>
      <w:r w:rsidRPr="00EB6885">
        <w:rPr>
          <w:rFonts w:ascii="Times New Roman" w:hAnsi="Times New Roman" w:cs="Times New Roman"/>
        </w:rPr>
        <w:t>. Historie biblijne służą także jako standardy moralne. Apostoł Paweł wyjaśnia, że „</w:t>
      </w:r>
      <w:r w:rsidRPr="00EB6885">
        <w:rPr>
          <w:rFonts w:ascii="Times New Roman" w:hAnsi="Times New Roman" w:cs="Times New Roman"/>
          <w:color w:val="000000"/>
        </w:rPr>
        <w:t>to wszystko [dzieje narodu izraelskiego] (...) jest napisane ku przestrodze dla nas</w:t>
      </w:r>
      <w:r w:rsidRPr="00EB6885">
        <w:rPr>
          <w:rFonts w:ascii="Times New Roman" w:hAnsi="Times New Roman" w:cs="Times New Roman"/>
        </w:rPr>
        <w:t xml:space="preserve">” (1 Kor 10,11). Historie te są </w:t>
      </w:r>
      <w:r w:rsidRPr="00EB6885">
        <w:rPr>
          <w:rFonts w:ascii="Times New Roman" w:hAnsi="Times New Roman" w:cs="Times New Roman"/>
          <w:i/>
          <w:iCs/>
        </w:rPr>
        <w:t>normatywne</w:t>
      </w:r>
      <w:r w:rsidRPr="00EB6885">
        <w:rPr>
          <w:rFonts w:ascii="Times New Roman" w:hAnsi="Times New Roman" w:cs="Times New Roman"/>
        </w:rPr>
        <w:t>, gdyż są dla nas ostrzeżeniem, „</w:t>
      </w:r>
      <w:r w:rsidRPr="00EB6885">
        <w:rPr>
          <w:rFonts w:ascii="Times New Roman" w:hAnsi="Times New Roman" w:cs="Times New Roman"/>
          <w:color w:val="000000"/>
        </w:rPr>
        <w:t>abyśmy złych rzeczy nie pożądali, jak tamci pożądali</w:t>
      </w:r>
      <w:r w:rsidRPr="00EB6885">
        <w:rPr>
          <w:rFonts w:ascii="Times New Roman" w:hAnsi="Times New Roman" w:cs="Times New Roman"/>
        </w:rPr>
        <w:t xml:space="preserve">” (1 Kor 10,6). Są to wzorce, gdyż zostały nam dane jako pozytywne lub negatywne przykłady do naśladowania. Wzorce te czasami oferują korzyści, jakich nie dają zasady i reguły postępowania. Pomagają nam utożsamić się z postaciami, które doświadczały zmagań i pokus w sytuacjach związanych z zasadami moralnymi. W opowiadaniach ukazane są konsekwencje posłuszeństwa albo </w:t>
      </w:r>
      <w:r w:rsidRPr="00EB6885">
        <w:rPr>
          <w:rFonts w:ascii="Times New Roman" w:hAnsi="Times New Roman" w:cs="Times New Roman"/>
        </w:rPr>
        <w:lastRenderedPageBreak/>
        <w:t>nieposłuszeństwa moralnym standardom, odkryte są łańcuchy przyczynowo-</w:t>
      </w:r>
      <w:r>
        <w:rPr>
          <w:rFonts w:ascii="Times New Roman" w:hAnsi="Times New Roman" w:cs="Times New Roman"/>
        </w:rPr>
        <w:t xml:space="preserve"> </w:t>
      </w:r>
      <w:r w:rsidRPr="00EB6885">
        <w:rPr>
          <w:rFonts w:ascii="Times New Roman" w:hAnsi="Times New Roman" w:cs="Times New Roman"/>
        </w:rPr>
        <w:t xml:space="preserve">skutkowe. </w:t>
      </w:r>
      <w:proofErr w:type="spellStart"/>
      <w:r w:rsidRPr="00EB6885">
        <w:rPr>
          <w:rFonts w:ascii="Times New Roman" w:hAnsi="Times New Roman" w:cs="Times New Roman"/>
          <w:lang w:val="en-US"/>
        </w:rPr>
        <w:t>Kiš</w:t>
      </w:r>
      <w:proofErr w:type="spellEnd"/>
      <w:r w:rsidRPr="00EB6885">
        <w:rPr>
          <w:rFonts w:ascii="Times New Roman" w:hAnsi="Times New Roman" w:cs="Times New Roman"/>
          <w:lang w:val="en-US"/>
        </w:rPr>
        <w:t xml:space="preserve"> </w:t>
      </w:r>
      <w:r w:rsidRPr="00EB6885">
        <w:rPr>
          <w:rFonts w:ascii="Times New Roman" w:hAnsi="Times New Roman" w:cs="Times New Roman"/>
        </w:rPr>
        <w:t>wskazuje dobrodziejstwa studiowania historii biblijnych jako wzorców normatywnych: „Możemy się z nich uczyć nie doświadczając osobiście grzechu. Wzorce normatywne pomagają nam uczyć się na cudzych błędach” („</w:t>
      </w:r>
      <w:r w:rsidRPr="00EB6885">
        <w:rPr>
          <w:rFonts w:ascii="Times New Roman" w:hAnsi="Times New Roman" w:cs="Times New Roman"/>
          <w:lang w:val="en-US"/>
        </w:rPr>
        <w:t>Biblical Narratives and Christian Decision”</w:t>
      </w:r>
      <w:r w:rsidRPr="00EB6885">
        <w:rPr>
          <w:rFonts w:ascii="Times New Roman" w:hAnsi="Times New Roman" w:cs="Times New Roman"/>
        </w:rPr>
        <w:t>, s. 29).</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 xml:space="preserve">Biblijne wzorce normatywne mogą być także pomocne, kiedy dwie biblijne zasady wydają się być w sprzeczności w danej sytuacji. Historia biblijna nierzadko może dostarczyć rozwiązania konfliktu. Ponadto czasami zasada moralna może być dostatecznie jasna, ale mogą być do niej przypisane różne kierunki postępowania (reguły działania). Który z nich wybrać? </w:t>
      </w:r>
      <w:proofErr w:type="spellStart"/>
      <w:r w:rsidRPr="00EB6885">
        <w:rPr>
          <w:rFonts w:ascii="Times New Roman" w:hAnsi="Times New Roman" w:cs="Times New Roman"/>
          <w:lang w:val="en-US"/>
        </w:rPr>
        <w:t>Kiš</w:t>
      </w:r>
      <w:proofErr w:type="spellEnd"/>
      <w:r w:rsidRPr="00EB6885">
        <w:rPr>
          <w:rFonts w:ascii="Times New Roman" w:hAnsi="Times New Roman" w:cs="Times New Roman"/>
          <w:lang w:val="en-US"/>
        </w:rPr>
        <w:t xml:space="preserve"> </w:t>
      </w:r>
      <w:r w:rsidRPr="00EB6885">
        <w:rPr>
          <w:rFonts w:ascii="Times New Roman" w:hAnsi="Times New Roman" w:cs="Times New Roman"/>
        </w:rPr>
        <w:t>zauważa, że w takich przypadkach wzorce normatywne mogą „służyć jako języczek u wagi” (s. 30).</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Niektórzy uczestnicy lekcji mogą postrzegać ten krótki wstęp do chrześcijańskiej etyki jako w</w:t>
      </w:r>
      <w:r w:rsidR="00E517F1">
        <w:rPr>
          <w:rFonts w:ascii="Times New Roman" w:hAnsi="Times New Roman" w:cs="Times New Roman"/>
        </w:rPr>
        <w:t> </w:t>
      </w:r>
      <w:r w:rsidRPr="00EB6885">
        <w:rPr>
          <w:rFonts w:ascii="Times New Roman" w:hAnsi="Times New Roman" w:cs="Times New Roman"/>
        </w:rPr>
        <w:t xml:space="preserve"> najlepszym razie zbytnio skupiony na czynach, a w najgorszym razie wręcz legalistyczny. Jaką rolę ma działanie Ducha Świętego w życiu człowieka? Gdzie jest miejsce na zbawienie z łaski? Te i inne wymiary zbawienia są zakładane z góry, kiedy mamy do czynienia z wyzwaniami etycznymi. Dobrze będzie zakończyć omówienie lekcji przypomnieniem, że od naszych wyborów zależy nasza przyszłość. Nic dziwnego, że Bóg miłości podkreśla znaczenie zasad moralnego postępowania (etyki) (</w:t>
      </w:r>
      <w:proofErr w:type="spellStart"/>
      <w:r w:rsidRPr="00EB6885">
        <w:rPr>
          <w:rFonts w:ascii="Times New Roman" w:hAnsi="Times New Roman" w:cs="Times New Roman"/>
        </w:rPr>
        <w:t>Hbr</w:t>
      </w:r>
      <w:proofErr w:type="spellEnd"/>
      <w:r w:rsidRPr="00EB6885">
        <w:rPr>
          <w:rFonts w:ascii="Times New Roman" w:hAnsi="Times New Roman" w:cs="Times New Roman"/>
        </w:rPr>
        <w:t xml:space="preserve"> 12,5-8; </w:t>
      </w:r>
      <w:proofErr w:type="spellStart"/>
      <w:r w:rsidRPr="00EB6885">
        <w:rPr>
          <w:rFonts w:ascii="Times New Roman" w:hAnsi="Times New Roman" w:cs="Times New Roman"/>
        </w:rPr>
        <w:t>Ap</w:t>
      </w:r>
      <w:proofErr w:type="spellEnd"/>
      <w:r w:rsidRPr="00EB6885">
        <w:rPr>
          <w:rFonts w:ascii="Times New Roman" w:hAnsi="Times New Roman" w:cs="Times New Roman"/>
        </w:rPr>
        <w:t xml:space="preserve"> 3,19), które mogą nam zapewnić życie „obfite” teraz i „</w:t>
      </w:r>
      <w:r w:rsidRPr="00EB6885">
        <w:rPr>
          <w:rFonts w:ascii="Times New Roman" w:hAnsi="Times New Roman" w:cs="Times New Roman"/>
          <w:color w:val="000000"/>
        </w:rPr>
        <w:t>w świecie przyszłym żywot wieczny</w:t>
      </w:r>
      <w:r w:rsidRPr="00EB6885">
        <w:rPr>
          <w:rFonts w:ascii="Times New Roman" w:hAnsi="Times New Roman" w:cs="Times New Roman"/>
        </w:rPr>
        <w:t>” (J</w:t>
      </w:r>
      <w:r w:rsidR="00E517F1">
        <w:rPr>
          <w:rFonts w:ascii="Times New Roman" w:hAnsi="Times New Roman" w:cs="Times New Roman"/>
        </w:rPr>
        <w:t> </w:t>
      </w:r>
      <w:r w:rsidRPr="00EB6885">
        <w:rPr>
          <w:rFonts w:ascii="Times New Roman" w:hAnsi="Times New Roman" w:cs="Times New Roman"/>
        </w:rPr>
        <w:t xml:space="preserve"> 10,10; </w:t>
      </w:r>
      <w:proofErr w:type="spellStart"/>
      <w:r w:rsidRPr="00EB6885">
        <w:rPr>
          <w:rFonts w:ascii="Times New Roman" w:hAnsi="Times New Roman" w:cs="Times New Roman"/>
        </w:rPr>
        <w:t>Łk</w:t>
      </w:r>
      <w:proofErr w:type="spellEnd"/>
      <w:r w:rsidRPr="00EB6885">
        <w:rPr>
          <w:rFonts w:ascii="Times New Roman" w:hAnsi="Times New Roman" w:cs="Times New Roman"/>
        </w:rPr>
        <w:t xml:space="preserve"> 18,30). Tego samego oczekujemy od ziemskiego ojca. Dlaczego mielibyśmy spodziewać się mniej po naszym niebiańskim Ojcu?</w:t>
      </w:r>
    </w:p>
    <w:p w:rsidR="001B224C" w:rsidRPr="00EB6885" w:rsidRDefault="001B224C" w:rsidP="001B224C">
      <w:pPr>
        <w:rPr>
          <w:rFonts w:ascii="Times New Roman" w:hAnsi="Times New Roman" w:cs="Times New Roman"/>
        </w:rPr>
      </w:pPr>
    </w:p>
    <w:p w:rsidR="001B224C" w:rsidRPr="00EB6885" w:rsidRDefault="001B224C" w:rsidP="001B224C">
      <w:pPr>
        <w:rPr>
          <w:rFonts w:ascii="Times New Roman" w:hAnsi="Times New Roman" w:cs="Times New Roman"/>
          <w:lang w:val="en-US"/>
        </w:rPr>
      </w:pPr>
      <w:proofErr w:type="spellStart"/>
      <w:r w:rsidRPr="00EB6885">
        <w:rPr>
          <w:rFonts w:ascii="Times New Roman" w:hAnsi="Times New Roman" w:cs="Times New Roman"/>
          <w:b/>
          <w:lang w:val="en-US"/>
        </w:rPr>
        <w:t>Praktyczne</w:t>
      </w:r>
      <w:proofErr w:type="spellEnd"/>
      <w:r w:rsidRPr="00EB6885">
        <w:rPr>
          <w:rFonts w:ascii="Times New Roman" w:hAnsi="Times New Roman" w:cs="Times New Roman"/>
          <w:b/>
          <w:lang w:val="en-US"/>
        </w:rPr>
        <w:t xml:space="preserve"> </w:t>
      </w:r>
      <w:proofErr w:type="spellStart"/>
      <w:r w:rsidRPr="00EB6885">
        <w:rPr>
          <w:rFonts w:ascii="Times New Roman" w:hAnsi="Times New Roman" w:cs="Times New Roman"/>
          <w:b/>
          <w:lang w:val="en-US"/>
        </w:rPr>
        <w:t>zastosowanie</w:t>
      </w:r>
      <w:proofErr w:type="spellEnd"/>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Poprzednia część poświęcona etyce była dość mocno wypełniona teorią. Jakkolwiek teoria jest ważna, teraz nadarza się okazja do zastosowania omówionych ram etycznych do dalekosiężnych w</w:t>
      </w:r>
      <w:r w:rsidR="00E517F1">
        <w:rPr>
          <w:rFonts w:ascii="Times New Roman" w:hAnsi="Times New Roman" w:cs="Times New Roman"/>
        </w:rPr>
        <w:t> </w:t>
      </w:r>
      <w:r w:rsidRPr="00EB6885">
        <w:rPr>
          <w:rFonts w:ascii="Times New Roman" w:hAnsi="Times New Roman" w:cs="Times New Roman"/>
        </w:rPr>
        <w:t xml:space="preserve"> skutkach wyborów przedstawionych w lekcji. Oto dwa możliwe scenariusze wyboru współmałżonka.</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i/>
        </w:rPr>
        <w:t>Scenariusz 1</w:t>
      </w:r>
      <w:r w:rsidRPr="00EB6885">
        <w:rPr>
          <w:rFonts w:ascii="Times New Roman" w:hAnsi="Times New Roman" w:cs="Times New Roman"/>
        </w:rPr>
        <w:t>: Właśnie rozpadło się drugie małżeństwo twojego przyjaciela. Pewna osoba w</w:t>
      </w:r>
      <w:r w:rsidR="00E517F1">
        <w:rPr>
          <w:rFonts w:ascii="Times New Roman" w:hAnsi="Times New Roman" w:cs="Times New Roman"/>
        </w:rPr>
        <w:t> </w:t>
      </w:r>
      <w:r w:rsidRPr="00EB6885">
        <w:rPr>
          <w:rFonts w:ascii="Times New Roman" w:hAnsi="Times New Roman" w:cs="Times New Roman"/>
        </w:rPr>
        <w:t xml:space="preserve"> zborze zwróciła jego uwagę. Przyjaciel przyszedł do ciebie po radę. Na jakie zasady, reguły postępowania i wzorce normatywne z </w:t>
      </w:r>
      <w:r w:rsidRPr="00EB6885">
        <w:rPr>
          <w:rFonts w:ascii="Times New Roman" w:hAnsi="Times New Roman" w:cs="Times New Roman"/>
          <w:i/>
          <w:iCs/>
        </w:rPr>
        <w:t>Pisma Świętego</w:t>
      </w:r>
      <w:r w:rsidRPr="00EB6885">
        <w:rPr>
          <w:rFonts w:ascii="Times New Roman" w:hAnsi="Times New Roman" w:cs="Times New Roman"/>
        </w:rPr>
        <w:t xml:space="preserve"> mógłbyś zwrócić jego uwagę?</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i/>
          <w:iCs/>
        </w:rPr>
        <w:t xml:space="preserve">Możliwe podejście: </w:t>
      </w:r>
      <w:r w:rsidRPr="00EB6885">
        <w:rPr>
          <w:rFonts w:ascii="Times New Roman" w:hAnsi="Times New Roman" w:cs="Times New Roman"/>
        </w:rPr>
        <w:t>Autorzy lekcji przedstawiają znakomite, oparte na zasadach podejście do przygotowania się do małżeństwa - przywołują złotą regułę postępowania, która w tym przypadku oznacza stawanie się takim współmałżonkiem, jakiego ktoś chciałby mieć. Takie podejście oznacza, że jeśli ktoś pragnie wstąpić w związek małżeński, musi kultywować w sobie cechy, jakich sam oczekuje od przyszłego współmałżonka.</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Historia Izaaka i Rebeki także może służyć jako wzorzec normatywy, gdyż: (1) Izaak zaufał innym w kwestii wyboru żony (Rdz 24,1-4); (2) poślubienie kobiety spośród bałwochwalczego narodu, wśród którego mieszkał, nie wchodziło w rachubę (Rdz 24,6); (3) Izaak rozmyślał (przypuszczalnie modlił się), kiedy przybyła Rebeka (Rdz 24,63); (4) obie strony były zadowolone z zawartego małżeństwa.</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i/>
          <w:iCs/>
        </w:rPr>
        <w:t>Scenariusz 2</w:t>
      </w:r>
      <w:r w:rsidRPr="00EB6885">
        <w:rPr>
          <w:rFonts w:ascii="Times New Roman" w:hAnsi="Times New Roman" w:cs="Times New Roman"/>
        </w:rPr>
        <w:t xml:space="preserve">: Twój przyjaciel mieszka w kraju, w którym poligamia jest legalna. Rozważa poślubienie drugiej żony. Ponadto jest zdania, że </w:t>
      </w:r>
      <w:r w:rsidRPr="00EB6885">
        <w:rPr>
          <w:rFonts w:ascii="Times New Roman" w:hAnsi="Times New Roman" w:cs="Times New Roman"/>
          <w:i/>
          <w:iCs/>
        </w:rPr>
        <w:t>Biblia</w:t>
      </w:r>
      <w:r w:rsidRPr="00EB6885">
        <w:rPr>
          <w:rFonts w:ascii="Times New Roman" w:hAnsi="Times New Roman" w:cs="Times New Roman"/>
        </w:rPr>
        <w:t xml:space="preserve"> nie zakazuje wprost poligamii. Wielu patriarchów miało więcej niż jedną żonę. Jak posłużyłbyś się omówionymi ramami etycznymi, by wskazać mu lepszą drogę?</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i/>
          <w:iCs/>
        </w:rPr>
        <w:t>Możliwe podejście</w:t>
      </w:r>
      <w:r w:rsidRPr="00EB6885">
        <w:rPr>
          <w:rFonts w:ascii="Times New Roman" w:hAnsi="Times New Roman" w:cs="Times New Roman"/>
        </w:rPr>
        <w:t xml:space="preserve">: Zasada postępowania może zostać wskazana w </w:t>
      </w:r>
      <w:proofErr w:type="spellStart"/>
      <w:r w:rsidRPr="00EB6885">
        <w:rPr>
          <w:rFonts w:ascii="Times New Roman" w:hAnsi="Times New Roman" w:cs="Times New Roman"/>
        </w:rPr>
        <w:t>Kpł</w:t>
      </w:r>
      <w:proofErr w:type="spellEnd"/>
      <w:r w:rsidRPr="00EB6885">
        <w:rPr>
          <w:rFonts w:ascii="Times New Roman" w:hAnsi="Times New Roman" w:cs="Times New Roman"/>
        </w:rPr>
        <w:t xml:space="preserve"> 18,18, gdzie czytamy: „</w:t>
      </w:r>
      <w:r w:rsidRPr="00EB6885">
        <w:rPr>
          <w:rFonts w:ascii="Times New Roman" w:hAnsi="Times New Roman" w:cs="Times New Roman"/>
          <w:color w:val="000000"/>
        </w:rPr>
        <w:t>Nie weźmiesz sobie kobiety i jej siostry za nałożnicę i nie będziesz odsłaniał jej nagości za życia tamtej</w:t>
      </w:r>
      <w:r w:rsidRPr="00EB6885">
        <w:rPr>
          <w:rFonts w:ascii="Times New Roman" w:hAnsi="Times New Roman" w:cs="Times New Roman"/>
        </w:rPr>
        <w:t>”.</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lastRenderedPageBreak/>
        <w:t xml:space="preserve">Ciekawe, że ten werset można użyć na poparcie poligamii, gdyby rzeczywiście znaczył, że wykluczone jest </w:t>
      </w:r>
      <w:r w:rsidRPr="00EB6885">
        <w:rPr>
          <w:rFonts w:ascii="Times New Roman" w:hAnsi="Times New Roman" w:cs="Times New Roman"/>
          <w:i/>
          <w:iCs/>
        </w:rPr>
        <w:t>tylko</w:t>
      </w:r>
      <w:r w:rsidRPr="00EB6885">
        <w:rPr>
          <w:rFonts w:ascii="Times New Roman" w:hAnsi="Times New Roman" w:cs="Times New Roman"/>
        </w:rPr>
        <w:t xml:space="preserve"> jednoczesne poślubienie kobiet, które są siostrami. Jednak istnieją mocne przesłanki, iż wyrażenie „jej siostry” ma idiomatyczne znaczenie i odnosi się do wszystkich kobiet, a</w:t>
      </w:r>
      <w:r w:rsidR="00E517F1">
        <w:rPr>
          <w:rFonts w:ascii="Times New Roman" w:hAnsi="Times New Roman" w:cs="Times New Roman"/>
        </w:rPr>
        <w:t> </w:t>
      </w:r>
      <w:r w:rsidRPr="00EB6885">
        <w:rPr>
          <w:rFonts w:ascii="Times New Roman" w:hAnsi="Times New Roman" w:cs="Times New Roman"/>
        </w:rPr>
        <w:t xml:space="preserve"> więc werset ten wyklucza poligamię. Richard M. Davidson podaje osiem argumentów przemawiających za taką interpretacją (zob. </w:t>
      </w:r>
      <w:r w:rsidRPr="00EB6885">
        <w:rPr>
          <w:rFonts w:ascii="Times New Roman" w:hAnsi="Times New Roman" w:cs="Times New Roman"/>
          <w:i/>
          <w:iCs/>
          <w:lang w:val="en-US"/>
        </w:rPr>
        <w:t>Flame of Yahweh</w:t>
      </w:r>
      <w:r w:rsidRPr="00EB6885">
        <w:rPr>
          <w:rFonts w:ascii="Times New Roman" w:hAnsi="Times New Roman" w:cs="Times New Roman"/>
          <w:lang w:val="en-US"/>
        </w:rPr>
        <w:t xml:space="preserve">: </w:t>
      </w:r>
      <w:r w:rsidRPr="00EB6885">
        <w:rPr>
          <w:rFonts w:ascii="Times New Roman" w:hAnsi="Times New Roman" w:cs="Times New Roman"/>
          <w:i/>
          <w:iCs/>
          <w:lang w:val="en-US"/>
        </w:rPr>
        <w:t>Sexuality in the Old Testament</w:t>
      </w:r>
      <w:r w:rsidRPr="00EB6885">
        <w:rPr>
          <w:rFonts w:ascii="Times New Roman" w:hAnsi="Times New Roman" w:cs="Times New Roman"/>
          <w:lang w:val="en-US"/>
        </w:rPr>
        <w:t>, Peabody 2007, s. 194</w:t>
      </w:r>
      <w:r w:rsidRPr="00EB6885">
        <w:rPr>
          <w:rFonts w:ascii="Times New Roman" w:hAnsi="Times New Roman" w:cs="Times New Roman"/>
        </w:rPr>
        <w:t>).</w:t>
      </w:r>
    </w:p>
    <w:p w:rsidR="001B224C" w:rsidRPr="00EB6885" w:rsidRDefault="001B224C" w:rsidP="001B224C">
      <w:pPr>
        <w:ind w:firstLine="708"/>
        <w:jc w:val="both"/>
        <w:rPr>
          <w:rFonts w:ascii="Times New Roman" w:hAnsi="Times New Roman" w:cs="Times New Roman"/>
        </w:rPr>
      </w:pPr>
      <w:r w:rsidRPr="00EB6885">
        <w:rPr>
          <w:rFonts w:ascii="Times New Roman" w:hAnsi="Times New Roman" w:cs="Times New Roman"/>
        </w:rPr>
        <w:t xml:space="preserve">A co jeśli nie potrafimy ustalić bezsprzecznie, co oznacza </w:t>
      </w:r>
      <w:proofErr w:type="spellStart"/>
      <w:r w:rsidRPr="00EB6885">
        <w:rPr>
          <w:rFonts w:ascii="Times New Roman" w:hAnsi="Times New Roman" w:cs="Times New Roman"/>
        </w:rPr>
        <w:t>Kpł</w:t>
      </w:r>
      <w:proofErr w:type="spellEnd"/>
      <w:r w:rsidRPr="00EB6885">
        <w:rPr>
          <w:rFonts w:ascii="Times New Roman" w:hAnsi="Times New Roman" w:cs="Times New Roman"/>
        </w:rPr>
        <w:t xml:space="preserve"> 18,18? </w:t>
      </w:r>
      <w:proofErr w:type="spellStart"/>
      <w:r w:rsidRPr="00EB6885">
        <w:rPr>
          <w:rFonts w:ascii="Times New Roman" w:hAnsi="Times New Roman" w:cs="Times New Roman"/>
        </w:rPr>
        <w:t>Edeniczny</w:t>
      </w:r>
      <w:proofErr w:type="spellEnd"/>
      <w:r w:rsidRPr="00EB6885">
        <w:rPr>
          <w:rFonts w:ascii="Times New Roman" w:hAnsi="Times New Roman" w:cs="Times New Roman"/>
        </w:rPr>
        <w:t xml:space="preserve"> ideał wyłącznego związku Adama i Ewy jest roboczym wzorcem. Mamy także inne wzorce normatywne do rozważenia - historie rodzinnych porażek wynikających z wielożeństwa w życiu Abrahama, Jakuba, Dawida i Salomona. Zbierz te narracje razem, a negatywna ocena poligamii wyłania się jako teologiczna rzeczywistość w całym </w:t>
      </w:r>
      <w:r w:rsidRPr="00EB6885">
        <w:rPr>
          <w:rFonts w:ascii="Times New Roman" w:hAnsi="Times New Roman" w:cs="Times New Roman"/>
          <w:i/>
          <w:iCs/>
        </w:rPr>
        <w:t>Piśmie Świętym</w:t>
      </w:r>
      <w:r w:rsidRPr="00EB6885">
        <w:rPr>
          <w:rFonts w:ascii="Times New Roman" w:hAnsi="Times New Roman" w:cs="Times New Roman"/>
        </w:rPr>
        <w:t>.</w:t>
      </w:r>
    </w:p>
    <w:p w:rsidR="006921DC" w:rsidRDefault="006921DC">
      <w:pPr>
        <w:rPr>
          <w:rFonts w:ascii="Times New Roman" w:hAnsi="Times New Roman" w:cs="Times New Roman"/>
          <w:sz w:val="24"/>
        </w:rPr>
      </w:pPr>
      <w:r>
        <w:rPr>
          <w:rFonts w:ascii="Times New Roman" w:hAnsi="Times New Roman" w:cs="Times New Roman"/>
          <w:sz w:val="24"/>
        </w:rPr>
        <w:br w:type="page"/>
      </w:r>
    </w:p>
    <w:p w:rsidR="006921DC" w:rsidRPr="006921DC" w:rsidRDefault="006921DC" w:rsidP="006921DC">
      <w:pPr>
        <w:spacing w:after="0" w:line="360" w:lineRule="auto"/>
        <w:rPr>
          <w:rFonts w:ascii="Times New Roman" w:hAnsi="Times New Roman" w:cs="Times New Roman"/>
          <w:sz w:val="24"/>
        </w:rPr>
      </w:pPr>
    </w:p>
    <w:p w:rsidR="008B01ED" w:rsidRDefault="006921DC" w:rsidP="006921DC">
      <w:pPr>
        <w:spacing w:line="240" w:lineRule="auto"/>
        <w:rPr>
          <w:rFonts w:ascii="Times New Roman" w:hAnsi="Times New Roman" w:cs="Times New Roman"/>
          <w:b/>
        </w:rPr>
      </w:pPr>
      <w:r w:rsidRPr="006921DC">
        <w:rPr>
          <w:rFonts w:ascii="Times New Roman" w:hAnsi="Times New Roman" w:cs="Times New Roman"/>
          <w:b/>
        </w:rPr>
        <w:t xml:space="preserve">Nagłówki </w:t>
      </w:r>
    </w:p>
    <w:p w:rsidR="006921DC" w:rsidRDefault="006921DC" w:rsidP="006921DC">
      <w:pPr>
        <w:spacing w:after="0" w:line="240" w:lineRule="auto"/>
        <w:rPr>
          <w:rFonts w:ascii="Times New Roman" w:hAnsi="Times New Roman" w:cs="Times New Roman"/>
        </w:rPr>
      </w:pPr>
      <w:r>
        <w:rPr>
          <w:rFonts w:ascii="Times New Roman" w:hAnsi="Times New Roman" w:cs="Times New Roman"/>
        </w:rPr>
        <w:t>Tekst</w:t>
      </w:r>
    </w:p>
    <w:p w:rsidR="006921DC" w:rsidRPr="006921DC" w:rsidRDefault="006921DC" w:rsidP="006921DC">
      <w:pPr>
        <w:spacing w:after="0" w:line="240" w:lineRule="auto"/>
        <w:rPr>
          <w:rFonts w:ascii="Times New Roman" w:hAnsi="Times New Roman" w:cs="Times New Roman"/>
        </w:rPr>
      </w:pPr>
      <w:r>
        <w:rPr>
          <w:rFonts w:ascii="Times New Roman" w:hAnsi="Times New Roman" w:cs="Times New Roman"/>
        </w:rPr>
        <w:t>Tekst</w:t>
      </w:r>
    </w:p>
    <w:sectPr w:rsidR="006921DC" w:rsidRPr="006921D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10" w:rsidRDefault="00684210" w:rsidP="008C25AF">
      <w:pPr>
        <w:spacing w:after="0" w:line="240" w:lineRule="auto"/>
      </w:pPr>
      <w:r>
        <w:separator/>
      </w:r>
    </w:p>
  </w:endnote>
  <w:endnote w:type="continuationSeparator" w:id="0">
    <w:p w:rsidR="00684210" w:rsidRDefault="00684210"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69867"/>
      <w:docPartObj>
        <w:docPartGallery w:val="Page Numbers (Bottom of Page)"/>
        <w:docPartUnique/>
      </w:docPartObj>
    </w:sdtPr>
    <w:sdtEndPr/>
    <w:sdtContent>
      <w:p w:rsidR="00E517F1" w:rsidRDefault="00E517F1">
        <w:pPr>
          <w:pStyle w:val="Stopka"/>
          <w:jc w:val="center"/>
        </w:pPr>
        <w:r>
          <w:fldChar w:fldCharType="begin"/>
        </w:r>
        <w:r>
          <w:instrText>PAGE   \* MERGEFORMAT</w:instrText>
        </w:r>
        <w:r>
          <w:fldChar w:fldCharType="separate"/>
        </w:r>
        <w:r w:rsidR="00494E98">
          <w:rPr>
            <w:noProof/>
          </w:rPr>
          <w:t>5</w:t>
        </w:r>
        <w:r>
          <w:fldChar w:fldCharType="end"/>
        </w:r>
      </w:p>
    </w:sdtContent>
  </w:sdt>
  <w:p w:rsidR="00E517F1" w:rsidRDefault="00E517F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10" w:rsidRDefault="00684210" w:rsidP="008C25AF">
      <w:pPr>
        <w:spacing w:after="0" w:line="240" w:lineRule="auto"/>
      </w:pPr>
      <w:r>
        <w:separator/>
      </w:r>
    </w:p>
  </w:footnote>
  <w:footnote w:type="continuationSeparator" w:id="0">
    <w:p w:rsidR="00684210" w:rsidRDefault="00684210"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4B199E">
      <w:rPr>
        <w:rFonts w:ascii="Times New Roman" w:hAnsi="Times New Roman" w:cs="Times New Roman"/>
        <w:sz w:val="20"/>
      </w:rPr>
      <w:t>2</w:t>
    </w:r>
    <w:r>
      <w:rPr>
        <w:rFonts w:ascii="Times New Roman" w:hAnsi="Times New Roman" w:cs="Times New Roman"/>
        <w:sz w:val="20"/>
      </w:rPr>
      <w:t>/19</w:t>
    </w:r>
    <w:r w:rsidR="004B199E">
      <w:rPr>
        <w:rFonts w:ascii="Times New Roman" w:hAnsi="Times New Roman" w:cs="Times New Roman"/>
        <w:sz w:val="20"/>
      </w:rPr>
      <w:t xml:space="preserve">, Claudia i Pamelo </w:t>
    </w:r>
    <w:proofErr w:type="spellStart"/>
    <w:r w:rsidR="004B199E">
      <w:rPr>
        <w:rFonts w:ascii="Times New Roman" w:hAnsi="Times New Roman" w:cs="Times New Roman"/>
        <w:sz w:val="20"/>
      </w:rPr>
      <w:t>Conseuegrowie</w:t>
    </w:r>
    <w:proofErr w:type="spellEnd"/>
    <w:r w:rsidR="004B199E">
      <w:rPr>
        <w:rFonts w:ascii="Times New Roman" w:hAnsi="Times New Roman" w:cs="Times New Roman"/>
        <w:sz w:val="20"/>
      </w:rPr>
      <w:t xml:space="preserve">, </w:t>
    </w:r>
    <w:r w:rsidR="004B199E" w:rsidRPr="004B199E">
      <w:rPr>
        <w:rFonts w:ascii="Times New Roman" w:hAnsi="Times New Roman" w:cs="Times New Roman"/>
        <w:i/>
        <w:sz w:val="20"/>
      </w:rPr>
      <w:t>Czas na rodzinę</w:t>
    </w:r>
    <w:r>
      <w:rPr>
        <w:rFonts w:ascii="Times New Roman" w:hAnsi="Times New Roman" w:cs="Times New Roman"/>
        <w:sz w:val="20"/>
      </w:rPr>
      <w:t xml:space="preserve">, </w:t>
    </w:r>
    <w:r w:rsidR="004B199E">
      <w:rPr>
        <w:rFonts w:ascii="Times New Roman" w:hAnsi="Times New Roman" w:cs="Times New Roman"/>
        <w:sz w:val="20"/>
      </w:rPr>
      <w:t>lekcja 2</w:t>
    </w:r>
    <w:r>
      <w:rPr>
        <w:rFonts w:ascii="Times New Roman" w:hAnsi="Times New Roman" w:cs="Times New Roman"/>
        <w:sz w:val="20"/>
      </w:rPr>
      <w:t xml:space="preserve">, </w:t>
    </w:r>
    <w:r w:rsidR="004B199E" w:rsidRPr="004B199E">
      <w:rPr>
        <w:rFonts w:ascii="Times New Roman" w:hAnsi="Times New Roman" w:cs="Times New Roman"/>
        <w:i/>
        <w:sz w:val="20"/>
      </w:rPr>
      <w:t>Wybory, których dokonujemy</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12152"/>
    <w:rsid w:val="001644AD"/>
    <w:rsid w:val="001B224C"/>
    <w:rsid w:val="002137B5"/>
    <w:rsid w:val="00263B1C"/>
    <w:rsid w:val="0030620B"/>
    <w:rsid w:val="00361A37"/>
    <w:rsid w:val="00452F32"/>
    <w:rsid w:val="00483B4F"/>
    <w:rsid w:val="00494E98"/>
    <w:rsid w:val="004B199E"/>
    <w:rsid w:val="00684210"/>
    <w:rsid w:val="006921DC"/>
    <w:rsid w:val="008B01ED"/>
    <w:rsid w:val="008C25AF"/>
    <w:rsid w:val="00C8305A"/>
    <w:rsid w:val="00D04974"/>
    <w:rsid w:val="00E517F1"/>
    <w:rsid w:val="00E84093"/>
    <w:rsid w:val="00F436E6"/>
    <w:rsid w:val="00F44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D20E"/>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1606</Words>
  <Characters>9641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4</cp:revision>
  <dcterms:created xsi:type="dcterms:W3CDTF">2019-03-18T17:29:00Z</dcterms:created>
  <dcterms:modified xsi:type="dcterms:W3CDTF">2019-03-25T13:22:00Z</dcterms:modified>
</cp:coreProperties>
</file>