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058ABA0"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8B44EC" w:rsidRPr="002A0CBE">
        <w:rPr>
          <w:rFonts w:ascii="Times New Roman" w:hAnsi="Times New Roman"/>
          <w:sz w:val="20"/>
        </w:rPr>
        <w:t>1</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262338" w:rsidRPr="002A0CBE">
        <w:rPr>
          <w:rFonts w:ascii="Times New Roman" w:hAnsi="Times New Roman"/>
          <w:sz w:val="20"/>
        </w:rPr>
        <w:t>2 października</w:t>
      </w:r>
    </w:p>
    <w:p w14:paraId="78E2E118" w14:textId="455167F0" w:rsidR="00D746F4" w:rsidRPr="002A0CBE" w:rsidRDefault="00262338" w:rsidP="00080D7F">
      <w:pPr>
        <w:ind w:firstLine="0"/>
        <w:jc w:val="center"/>
        <w:rPr>
          <w:rFonts w:ascii="Times New Roman" w:hAnsi="Times New Roman"/>
          <w:b/>
          <w:sz w:val="20"/>
        </w:rPr>
      </w:pPr>
      <w:r w:rsidRPr="00810084">
        <w:rPr>
          <w:rFonts w:ascii="Times New Roman" w:hAnsi="Times New Roman"/>
          <w:b/>
          <w:sz w:val="24"/>
          <w:szCs w:val="24"/>
        </w:rPr>
        <w:t>WSTĘP DO KSIĘGI POWTÓRZONEGO PRAWA</w:t>
      </w:r>
    </w:p>
    <w:p w14:paraId="19F1E5AB" w14:textId="3D25616E" w:rsidR="004E40B6" w:rsidRPr="002A0CBE" w:rsidRDefault="004E40B6" w:rsidP="0081514B">
      <w:pPr>
        <w:ind w:firstLine="0"/>
        <w:jc w:val="center"/>
        <w:rPr>
          <w:rFonts w:ascii="Times New Roman" w:hAnsi="Times New Roman"/>
          <w:sz w:val="20"/>
        </w:rPr>
      </w:pPr>
    </w:p>
    <w:p w14:paraId="03589D43"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bCs/>
          <w:sz w:val="20"/>
        </w:rPr>
        <w:t xml:space="preserve">Teksty przewodnie: </w:t>
      </w:r>
      <w:r w:rsidRPr="002A0CBE">
        <w:rPr>
          <w:rFonts w:ascii="Times New Roman" w:hAnsi="Times New Roman"/>
          <w:iCs/>
          <w:sz w:val="20"/>
        </w:rPr>
        <w:t xml:space="preserve">1 J 4,8; </w:t>
      </w:r>
      <w:proofErr w:type="spellStart"/>
      <w:r w:rsidRPr="002A0CBE">
        <w:rPr>
          <w:rFonts w:ascii="Times New Roman" w:hAnsi="Times New Roman"/>
          <w:iCs/>
          <w:sz w:val="20"/>
        </w:rPr>
        <w:t>Pwt</w:t>
      </w:r>
      <w:proofErr w:type="spellEnd"/>
      <w:r w:rsidRPr="002A0CBE">
        <w:rPr>
          <w:rFonts w:ascii="Times New Roman" w:hAnsi="Times New Roman"/>
          <w:iCs/>
          <w:sz w:val="20"/>
        </w:rPr>
        <w:t> 4,37; 6,5.</w:t>
      </w:r>
    </w:p>
    <w:p w14:paraId="7995C9CF"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26C0C6E"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2A0CBE">
        <w:rPr>
          <w:rFonts w:ascii="Times New Roman" w:hAnsi="Times New Roman"/>
          <w:b/>
          <w:bCs/>
          <w:sz w:val="20"/>
        </w:rPr>
        <w:t xml:space="preserve">Zakres studium: </w:t>
      </w:r>
      <w:r w:rsidRPr="002A0CBE">
        <w:rPr>
          <w:rFonts w:ascii="Times New Roman" w:hAnsi="Times New Roman"/>
          <w:iCs/>
          <w:sz w:val="20"/>
        </w:rPr>
        <w:t xml:space="preserve">Iz 14,12-14; </w:t>
      </w:r>
      <w:proofErr w:type="spellStart"/>
      <w:r w:rsidRPr="002A0CBE">
        <w:rPr>
          <w:rFonts w:ascii="Times New Roman" w:hAnsi="Times New Roman"/>
          <w:iCs/>
          <w:sz w:val="20"/>
        </w:rPr>
        <w:t>Ez</w:t>
      </w:r>
      <w:proofErr w:type="spellEnd"/>
      <w:r w:rsidRPr="002A0CBE">
        <w:rPr>
          <w:rFonts w:ascii="Times New Roman" w:hAnsi="Times New Roman"/>
          <w:iCs/>
          <w:sz w:val="20"/>
        </w:rPr>
        <w:t xml:space="preserve"> 28,12-17; Rdz 3,1-7; 12,1-3; </w:t>
      </w:r>
      <w:proofErr w:type="spellStart"/>
      <w:r w:rsidRPr="002A0CBE">
        <w:rPr>
          <w:rFonts w:ascii="Times New Roman" w:hAnsi="Times New Roman"/>
          <w:iCs/>
          <w:sz w:val="20"/>
        </w:rPr>
        <w:t>Dz</w:t>
      </w:r>
      <w:proofErr w:type="spellEnd"/>
      <w:r w:rsidRPr="002A0CBE">
        <w:rPr>
          <w:rFonts w:ascii="Times New Roman" w:hAnsi="Times New Roman"/>
          <w:iCs/>
          <w:sz w:val="20"/>
        </w:rPr>
        <w:t xml:space="preserve"> 7,20-36; </w:t>
      </w:r>
      <w:proofErr w:type="spellStart"/>
      <w:r w:rsidRPr="002A0CBE">
        <w:rPr>
          <w:rFonts w:ascii="Times New Roman" w:hAnsi="Times New Roman"/>
          <w:iCs/>
          <w:sz w:val="20"/>
        </w:rPr>
        <w:t>Wj</w:t>
      </w:r>
      <w:proofErr w:type="spellEnd"/>
      <w:r w:rsidRPr="002A0CBE">
        <w:rPr>
          <w:rFonts w:ascii="Times New Roman" w:hAnsi="Times New Roman"/>
          <w:iCs/>
          <w:sz w:val="20"/>
        </w:rPr>
        <w:t xml:space="preserve"> 19,4-8; </w:t>
      </w:r>
      <w:proofErr w:type="spellStart"/>
      <w:r w:rsidRPr="002A0CBE">
        <w:rPr>
          <w:rFonts w:ascii="Times New Roman" w:hAnsi="Times New Roman"/>
          <w:iCs/>
          <w:sz w:val="20"/>
        </w:rPr>
        <w:t>Pwt</w:t>
      </w:r>
      <w:proofErr w:type="spellEnd"/>
      <w:r w:rsidRPr="002A0CBE">
        <w:rPr>
          <w:rFonts w:ascii="Times New Roman" w:hAnsi="Times New Roman"/>
          <w:iCs/>
          <w:sz w:val="20"/>
        </w:rPr>
        <w:t> 1,34.</w:t>
      </w:r>
    </w:p>
    <w:p w14:paraId="06257FC0"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7A2AD89"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sz w:val="20"/>
        </w:rPr>
        <w:t>Część I: Przegląd</w:t>
      </w:r>
    </w:p>
    <w:p w14:paraId="66E847DC"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819B170" w14:textId="77777777" w:rsidR="002A0CBE" w:rsidRPr="002A0CBE" w:rsidRDefault="002A0CBE" w:rsidP="002A0CBE">
      <w:pPr>
        <w:rPr>
          <w:rFonts w:ascii="Times New Roman" w:hAnsi="Times New Roman"/>
          <w:sz w:val="20"/>
        </w:rPr>
      </w:pPr>
      <w:r w:rsidRPr="002A0CBE">
        <w:rPr>
          <w:rFonts w:ascii="Times New Roman" w:hAnsi="Times New Roman"/>
          <w:b/>
          <w:bCs/>
          <w:sz w:val="20"/>
        </w:rPr>
        <w:t>Wprowadzenie:</w:t>
      </w:r>
      <w:r w:rsidRPr="002A0CBE">
        <w:rPr>
          <w:rFonts w:ascii="Times New Roman" w:hAnsi="Times New Roman"/>
          <w:bCs/>
          <w:sz w:val="20"/>
        </w:rPr>
        <w:t xml:space="preserve"> </w:t>
      </w:r>
      <w:r w:rsidRPr="002A0CBE">
        <w:rPr>
          <w:rFonts w:ascii="Times New Roman" w:hAnsi="Times New Roman"/>
          <w:i/>
          <w:sz w:val="20"/>
        </w:rPr>
        <w:t>Księga Powtórzonego Prawa</w:t>
      </w:r>
      <w:r w:rsidRPr="002A0CBE">
        <w:rPr>
          <w:rFonts w:ascii="Times New Roman" w:hAnsi="Times New Roman"/>
          <w:sz w:val="20"/>
        </w:rPr>
        <w:t xml:space="preserve"> jest piątą, ostatnią księgą </w:t>
      </w:r>
      <w:r w:rsidRPr="002A0CBE">
        <w:rPr>
          <w:rFonts w:ascii="Times New Roman" w:hAnsi="Times New Roman"/>
          <w:i/>
          <w:sz w:val="20"/>
        </w:rPr>
        <w:t>Pięcioksięgu Mojżeszowego</w:t>
      </w:r>
      <w:r w:rsidRPr="002A0CBE">
        <w:rPr>
          <w:rFonts w:ascii="Times New Roman" w:hAnsi="Times New Roman"/>
          <w:sz w:val="20"/>
        </w:rPr>
        <w:t>, zawierającą pożegnalne mowy Mojżesza wygłoszone do Izraelitów przed ich wejściem do Ziemi Obiecanej. Jako taka, księga ta charakteryzuje się poczuciem pilności. Mojżesz miał wkrótce umrzeć i pozostawić swój lud, a jego ostatnie słowa miały im przypomnieć o najważniejszych Bożych naukach. Tak więc księga ta jest wykładem wiary Izraelitów, podręcznikiem dla przywódców ludu mającym pomóc im trzymaniu się właściwej drogi.</w:t>
      </w:r>
    </w:p>
    <w:p w14:paraId="0CB912D2" w14:textId="77777777" w:rsidR="002A0CBE" w:rsidRPr="002A0CBE" w:rsidRDefault="002A0CBE" w:rsidP="002A0CBE">
      <w:pPr>
        <w:rPr>
          <w:rFonts w:ascii="Times New Roman" w:hAnsi="Times New Roman"/>
          <w:sz w:val="20"/>
        </w:rPr>
      </w:pPr>
    </w:p>
    <w:p w14:paraId="3313C2F4"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sz w:val="20"/>
        </w:rPr>
        <w:t>Tematy lekcji</w:t>
      </w:r>
    </w:p>
    <w:p w14:paraId="182ADB1E"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w:t>
      </w:r>
      <w:r w:rsidRPr="002A0CBE">
        <w:rPr>
          <w:rFonts w:ascii="Times New Roman" w:hAnsi="Times New Roman"/>
          <w:b/>
          <w:sz w:val="20"/>
        </w:rPr>
        <w:t xml:space="preserve">Bóg historii. </w:t>
      </w:r>
      <w:r w:rsidRPr="002A0CBE">
        <w:rPr>
          <w:rFonts w:ascii="Times New Roman" w:hAnsi="Times New Roman"/>
          <w:sz w:val="20"/>
        </w:rPr>
        <w:t>Kiedy Mojżesz zwraca się do swego ludu, przypomina Izraelitom o przeszłych wydarzeniach z ich historii, w której Bóg uratował ich z niewoli, wywiódł z Egiptu i przeprowadził ich przez trudności na pustyni.</w:t>
      </w:r>
    </w:p>
    <w:p w14:paraId="3F24C486"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w:t>
      </w:r>
      <w:r w:rsidRPr="002A0CBE">
        <w:rPr>
          <w:rFonts w:ascii="Times New Roman" w:hAnsi="Times New Roman"/>
          <w:b/>
          <w:sz w:val="20"/>
        </w:rPr>
        <w:t>Bóg miłości.</w:t>
      </w:r>
      <w:r w:rsidRPr="002A0CBE">
        <w:rPr>
          <w:rFonts w:ascii="Times New Roman" w:hAnsi="Times New Roman"/>
          <w:sz w:val="20"/>
        </w:rPr>
        <w:t xml:space="preserve"> Ponieważ Bóg jest miłością, opiekuje się swoim ludem i walczy o niego. W odpowiedzi na to lud uczy się miłować Boga.</w:t>
      </w:r>
    </w:p>
    <w:p w14:paraId="00940C1F"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w:t>
      </w:r>
      <w:r w:rsidRPr="002A0CBE">
        <w:rPr>
          <w:rFonts w:ascii="Times New Roman" w:hAnsi="Times New Roman"/>
          <w:b/>
          <w:sz w:val="20"/>
        </w:rPr>
        <w:t>Bóg przymierza.</w:t>
      </w:r>
      <w:r w:rsidRPr="002A0CBE">
        <w:rPr>
          <w:rFonts w:ascii="Times New Roman" w:hAnsi="Times New Roman"/>
          <w:sz w:val="20"/>
        </w:rPr>
        <w:t xml:space="preserve"> Ta wzajemna więź między Bogiem i Jego ludem ma formę umowy, przymierza Boga z Izraelem.</w:t>
      </w:r>
    </w:p>
    <w:p w14:paraId="4AA1A0A8"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w:t>
      </w:r>
      <w:r w:rsidRPr="002A0CBE">
        <w:rPr>
          <w:rFonts w:ascii="Times New Roman" w:hAnsi="Times New Roman"/>
          <w:b/>
          <w:sz w:val="20"/>
        </w:rPr>
        <w:t>Lud Boży.</w:t>
      </w:r>
      <w:r w:rsidRPr="002A0CBE">
        <w:rPr>
          <w:rFonts w:ascii="Times New Roman" w:hAnsi="Times New Roman"/>
          <w:sz w:val="20"/>
        </w:rPr>
        <w:t xml:space="preserve"> Izrael jest ludem przymierza. Nie znaczy to, że jest lepszy niż inne narody. Przymierze zapoczątkowane z Abrahamem oznacza, że Izraelici mają być świętym ludem, poświęconym w umiłowaniu Boga i bojaźni wobec Niego oraz posłuszeństwie Jego przykazaniom.</w:t>
      </w:r>
    </w:p>
    <w:p w14:paraId="359D2AFE" w14:textId="77777777" w:rsidR="002A0CBE" w:rsidRPr="002A0CBE" w:rsidRDefault="002A0CBE" w:rsidP="002A0CBE">
      <w:pPr>
        <w:rPr>
          <w:rFonts w:ascii="Times New Roman" w:hAnsi="Times New Roman"/>
          <w:sz w:val="20"/>
        </w:rPr>
      </w:pPr>
    </w:p>
    <w:p w14:paraId="69872F08"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sz w:val="20"/>
        </w:rPr>
        <w:t>Część II: Komentarz</w:t>
      </w:r>
    </w:p>
    <w:p w14:paraId="0224412B"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3E4BA61" w14:textId="77777777" w:rsidR="002A0CBE" w:rsidRPr="002A0CBE" w:rsidRDefault="002A0CBE" w:rsidP="002A0CBE">
      <w:pPr>
        <w:rPr>
          <w:rFonts w:ascii="Times New Roman" w:hAnsi="Times New Roman"/>
          <w:sz w:val="20"/>
        </w:rPr>
      </w:pPr>
      <w:r w:rsidRPr="002A0CBE">
        <w:rPr>
          <w:rFonts w:ascii="Times New Roman" w:hAnsi="Times New Roman"/>
          <w:b/>
          <w:sz w:val="20"/>
        </w:rPr>
        <w:t>Cały Izrael</w:t>
      </w:r>
    </w:p>
    <w:p w14:paraId="38CEF814" w14:textId="77777777" w:rsidR="002A0CBE" w:rsidRPr="002A0CBE" w:rsidRDefault="002A0CBE" w:rsidP="002A0CBE">
      <w:pPr>
        <w:rPr>
          <w:rFonts w:ascii="Times New Roman" w:hAnsi="Times New Roman"/>
          <w:sz w:val="20"/>
        </w:rPr>
      </w:pPr>
      <w:r w:rsidRPr="002A0CBE">
        <w:rPr>
          <w:rFonts w:ascii="Times New Roman" w:hAnsi="Times New Roman"/>
          <w:i/>
          <w:sz w:val="20"/>
        </w:rPr>
        <w:t>Księga Powtórzonego Prawa</w:t>
      </w:r>
      <w:r w:rsidRPr="002A0CBE">
        <w:rPr>
          <w:rFonts w:ascii="Times New Roman" w:hAnsi="Times New Roman"/>
          <w:sz w:val="20"/>
        </w:rPr>
        <w:t xml:space="preserve"> jest przeznaczona dla „całego Izraela”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1,1)</w:t>
      </w:r>
      <w:r w:rsidRPr="002A0CBE">
        <w:rPr>
          <w:rFonts w:ascii="Times New Roman" w:hAnsi="Times New Roman"/>
          <w:sz w:val="20"/>
        </w:rPr>
        <w:t xml:space="preserve">. Wyrażenie to odnosi się do całego ludu tuż przed wejściem do Ziemi Obiecanej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34,12; 27,9; 31,1.7)</w:t>
      </w:r>
      <w:r w:rsidRPr="002A0CBE">
        <w:rPr>
          <w:rFonts w:ascii="Times New Roman" w:hAnsi="Times New Roman"/>
          <w:sz w:val="20"/>
        </w:rPr>
        <w:t>. Apostoł Paweł używa tego wyrażenia w eschatologicznym sensie, jako odnoszącego się do wszystkich zbawionych (zarówno Izraelitów, jak i pogan): „</w:t>
      </w:r>
      <w:r w:rsidRPr="002A0CBE">
        <w:rPr>
          <w:rFonts w:ascii="Times New Roman" w:eastAsiaTheme="minorHAnsi" w:hAnsi="Times New Roman"/>
          <w:color w:val="000000"/>
          <w:sz w:val="20"/>
          <w:lang w:eastAsia="en-US"/>
        </w:rPr>
        <w:t>i w ten sposób będzie zbawiony cały Izrael</w:t>
      </w:r>
      <w:r w:rsidRPr="002A0CBE">
        <w:rPr>
          <w:rFonts w:ascii="Times New Roman" w:hAnsi="Times New Roman"/>
          <w:sz w:val="20"/>
        </w:rPr>
        <w:t xml:space="preserve">” </w:t>
      </w:r>
      <w:r w:rsidRPr="002A0CBE">
        <w:rPr>
          <w:rFonts w:ascii="Times New Roman" w:hAnsi="Times New Roman"/>
          <w:iCs/>
          <w:sz w:val="20"/>
          <w:lang w:val="en-GB"/>
        </w:rPr>
        <w:t>(Rz 11,26)</w:t>
      </w:r>
      <w:r w:rsidRPr="002A0CBE">
        <w:rPr>
          <w:rFonts w:ascii="Times New Roman" w:hAnsi="Times New Roman"/>
          <w:sz w:val="20"/>
        </w:rPr>
        <w:t>. Choć wyrażenie „cały Izrael” w modlitwie Daniela odnosi się do Izraelitów na wygnaniu babilońskim żywiących nadzieję na odrodzenie, jest jasne, ze ma ono także powszechny sens i obejmuje „</w:t>
      </w:r>
      <w:r w:rsidRPr="002A0CBE">
        <w:rPr>
          <w:rFonts w:ascii="Times New Roman" w:eastAsiaTheme="minorHAnsi" w:hAnsi="Times New Roman"/>
          <w:color w:val="000000"/>
          <w:sz w:val="20"/>
          <w:lang w:eastAsia="en-US"/>
        </w:rPr>
        <w:t>bliskich i dalekich we wszystkich krajach</w:t>
      </w:r>
      <w:r w:rsidRPr="002A0CBE">
        <w:rPr>
          <w:rFonts w:ascii="Times New Roman" w:hAnsi="Times New Roman"/>
          <w:sz w:val="20"/>
        </w:rPr>
        <w:t xml:space="preserve">” </w:t>
      </w:r>
      <w:r w:rsidRPr="002A0CBE">
        <w:rPr>
          <w:rFonts w:ascii="Times New Roman" w:hAnsi="Times New Roman"/>
          <w:iCs/>
          <w:sz w:val="20"/>
          <w:lang w:val="en-GB"/>
        </w:rPr>
        <w:t>(</w:t>
      </w:r>
      <w:proofErr w:type="spellStart"/>
      <w:r w:rsidRPr="002A0CBE">
        <w:rPr>
          <w:rFonts w:ascii="Times New Roman" w:hAnsi="Times New Roman"/>
          <w:iCs/>
          <w:sz w:val="20"/>
          <w:lang w:val="en-GB"/>
        </w:rPr>
        <w:t>Dn</w:t>
      </w:r>
      <w:proofErr w:type="spellEnd"/>
      <w:r w:rsidRPr="002A0CBE">
        <w:rPr>
          <w:rFonts w:ascii="Times New Roman" w:hAnsi="Times New Roman"/>
          <w:iCs/>
          <w:sz w:val="20"/>
          <w:lang w:val="en-GB"/>
        </w:rPr>
        <w:t> 9,7)</w:t>
      </w:r>
      <w:r w:rsidRPr="002A0CBE">
        <w:rPr>
          <w:rFonts w:ascii="Times New Roman" w:hAnsi="Times New Roman"/>
          <w:sz w:val="20"/>
        </w:rPr>
        <w:t>.</w:t>
      </w:r>
    </w:p>
    <w:p w14:paraId="770FE3C4" w14:textId="77777777" w:rsidR="002A0CBE" w:rsidRPr="002A0CBE" w:rsidRDefault="002A0CBE" w:rsidP="002A0CBE">
      <w:pPr>
        <w:rPr>
          <w:rFonts w:ascii="Times New Roman" w:hAnsi="Times New Roman"/>
          <w:sz w:val="20"/>
        </w:rPr>
      </w:pPr>
    </w:p>
    <w:p w14:paraId="37A1C180" w14:textId="77777777" w:rsidR="002A0CBE" w:rsidRPr="002A0CBE" w:rsidRDefault="002A0CBE" w:rsidP="002A0CBE">
      <w:pPr>
        <w:rPr>
          <w:rFonts w:ascii="Times New Roman" w:hAnsi="Times New Roman"/>
          <w:sz w:val="20"/>
        </w:rPr>
      </w:pPr>
      <w:r w:rsidRPr="002A0CBE">
        <w:rPr>
          <w:rFonts w:ascii="Times New Roman" w:hAnsi="Times New Roman"/>
          <w:b/>
          <w:bCs/>
          <w:sz w:val="20"/>
        </w:rPr>
        <w:t>Pytanie do omówienia i przemyślenia:</w:t>
      </w:r>
      <w:r w:rsidRPr="002A0CBE">
        <w:rPr>
          <w:rFonts w:ascii="Times New Roman" w:hAnsi="Times New Roman"/>
          <w:i/>
          <w:iCs/>
          <w:sz w:val="20"/>
        </w:rPr>
        <w:t xml:space="preserve"> </w:t>
      </w:r>
      <w:r w:rsidRPr="002A0CBE">
        <w:rPr>
          <w:rFonts w:ascii="Times New Roman" w:hAnsi="Times New Roman"/>
          <w:sz w:val="20"/>
        </w:rPr>
        <w:t xml:space="preserve">Dlaczego </w:t>
      </w:r>
      <w:r w:rsidRPr="002A0CBE">
        <w:rPr>
          <w:rFonts w:ascii="Times New Roman" w:hAnsi="Times New Roman"/>
          <w:i/>
          <w:sz w:val="20"/>
        </w:rPr>
        <w:t>Księga Powtórzonego Prawa</w:t>
      </w:r>
      <w:r w:rsidRPr="002A0CBE">
        <w:rPr>
          <w:rFonts w:ascii="Times New Roman" w:hAnsi="Times New Roman"/>
          <w:sz w:val="20"/>
        </w:rPr>
        <w:t xml:space="preserve"> jest skierowana do Izraelitów jako ludu? Dlaczego przesłanie tej księgi jest lepiej zrozumiałe, kiedy jest ona skierowana do całego zgromadzenia? Jak powiedzenie „nikt nie żyje sam dla siebie” odnosi się do współczesnego Kościoła?</w:t>
      </w:r>
    </w:p>
    <w:p w14:paraId="53892989" w14:textId="77777777" w:rsidR="002A0CBE" w:rsidRPr="002A0CBE" w:rsidRDefault="002A0CBE" w:rsidP="002A0CBE">
      <w:pPr>
        <w:rPr>
          <w:rFonts w:ascii="Times New Roman" w:hAnsi="Times New Roman"/>
          <w:sz w:val="20"/>
        </w:rPr>
      </w:pPr>
    </w:p>
    <w:p w14:paraId="500B4509" w14:textId="77777777" w:rsidR="002A0CBE" w:rsidRPr="002A0CBE" w:rsidRDefault="002A0CBE" w:rsidP="002A0CBE">
      <w:pPr>
        <w:rPr>
          <w:rFonts w:ascii="Times New Roman" w:hAnsi="Times New Roman"/>
          <w:b/>
          <w:sz w:val="20"/>
        </w:rPr>
      </w:pPr>
      <w:r w:rsidRPr="002A0CBE">
        <w:rPr>
          <w:rFonts w:ascii="Times New Roman" w:hAnsi="Times New Roman"/>
          <w:b/>
          <w:i/>
          <w:sz w:val="20"/>
        </w:rPr>
        <w:t>Księga Powtórzonego Prawa</w:t>
      </w:r>
    </w:p>
    <w:p w14:paraId="5B64430F" w14:textId="4B194574" w:rsidR="002A0CBE" w:rsidRPr="002A0CBE" w:rsidRDefault="002A0CBE" w:rsidP="002A0CBE">
      <w:pPr>
        <w:rPr>
          <w:rFonts w:ascii="Times New Roman" w:hAnsi="Times New Roman"/>
          <w:sz w:val="20"/>
        </w:rPr>
      </w:pPr>
      <w:r w:rsidRPr="002A0CBE">
        <w:rPr>
          <w:rFonts w:ascii="Times New Roman" w:hAnsi="Times New Roman"/>
          <w:sz w:val="20"/>
        </w:rPr>
        <w:t xml:space="preserve">Tytuł księgi pochodzi od wyrażenia zawartego w </w:t>
      </w:r>
      <w:proofErr w:type="spellStart"/>
      <w:r w:rsidRPr="002A0CBE">
        <w:rPr>
          <w:rFonts w:ascii="Times New Roman" w:hAnsi="Times New Roman"/>
          <w:sz w:val="20"/>
        </w:rPr>
        <w:t>Pwt</w:t>
      </w:r>
      <w:proofErr w:type="spellEnd"/>
      <w:r w:rsidRPr="002A0CBE">
        <w:rPr>
          <w:rFonts w:ascii="Times New Roman" w:hAnsi="Times New Roman"/>
          <w:sz w:val="20"/>
        </w:rPr>
        <w:t xml:space="preserve"> 17,18 - „</w:t>
      </w:r>
      <w:r w:rsidRPr="002A0CBE">
        <w:rPr>
          <w:rFonts w:ascii="Times New Roman" w:eastAsiaTheme="minorHAnsi" w:hAnsi="Times New Roman"/>
          <w:color w:val="000000"/>
          <w:sz w:val="20"/>
          <w:lang w:eastAsia="en-US"/>
        </w:rPr>
        <w:t>odpis tego Prawa</w:t>
      </w:r>
      <w:r w:rsidRPr="002A0CBE">
        <w:rPr>
          <w:rFonts w:ascii="Times New Roman" w:hAnsi="Times New Roman"/>
          <w:sz w:val="20"/>
        </w:rPr>
        <w:t xml:space="preserve">” - które oznacza dosłownie „powtórzenie tego prawa”. Hebrajskie słowo tłumaczone jako „prawo” brzmi </w:t>
      </w:r>
      <w:proofErr w:type="spellStart"/>
      <w:r w:rsidRPr="002A0CBE">
        <w:rPr>
          <w:rFonts w:ascii="Times New Roman" w:hAnsi="Times New Roman"/>
          <w:i/>
          <w:sz w:val="20"/>
        </w:rPr>
        <w:t>tora</w:t>
      </w:r>
      <w:proofErr w:type="spellEnd"/>
      <w:r w:rsidRPr="002A0CBE">
        <w:rPr>
          <w:rFonts w:ascii="Times New Roman" w:hAnsi="Times New Roman"/>
          <w:sz w:val="20"/>
        </w:rPr>
        <w:t xml:space="preserve"> i oznacza więcej niż prawo w</w:t>
      </w:r>
      <w:r w:rsidR="00A47653">
        <w:rPr>
          <w:rFonts w:ascii="Times New Roman" w:hAnsi="Times New Roman"/>
          <w:sz w:val="20"/>
        </w:rPr>
        <w:t> </w:t>
      </w:r>
      <w:r w:rsidRPr="002A0CBE">
        <w:rPr>
          <w:rFonts w:ascii="Times New Roman" w:hAnsi="Times New Roman"/>
          <w:sz w:val="20"/>
        </w:rPr>
        <w:t xml:space="preserve">sensie jurydycznym. Może oznaczać także „nauczanie” jako takie, a więc określa zbiór Bożych pouczeń. Wyrażenie „powtórzone prawo” rzeczywiście pasuje do treści tej księgi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28,61; 29,21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nie tylko dlatego, że powtarza ona prawo dane pierwotnie na Górze Synaj, ale także dlatego, że jest przeglądem Bożych pouczeń. Co ciekawe, hebrajski tytuł tej księgi, </w:t>
      </w:r>
      <w:proofErr w:type="spellStart"/>
      <w:r w:rsidRPr="002A0CBE">
        <w:rPr>
          <w:rFonts w:ascii="Times New Roman" w:hAnsi="Times New Roman"/>
          <w:i/>
          <w:sz w:val="20"/>
        </w:rPr>
        <w:t>Debarim</w:t>
      </w:r>
      <w:proofErr w:type="spellEnd"/>
      <w:r w:rsidRPr="002A0CBE">
        <w:rPr>
          <w:rFonts w:ascii="Times New Roman" w:hAnsi="Times New Roman"/>
          <w:sz w:val="20"/>
        </w:rPr>
        <w:t xml:space="preserve">, „słowa” czy „oto słowa”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1,1)</w:t>
      </w:r>
      <w:r w:rsidRPr="002A0CBE">
        <w:rPr>
          <w:rFonts w:ascii="Times New Roman" w:hAnsi="Times New Roman"/>
          <w:sz w:val="20"/>
        </w:rPr>
        <w:t>, odnosi się do proroczych słów Mojżesza zawierających „</w:t>
      </w:r>
      <w:r w:rsidRPr="002A0CBE">
        <w:rPr>
          <w:rFonts w:ascii="Times New Roman" w:eastAsiaTheme="minorHAnsi" w:hAnsi="Times New Roman"/>
          <w:color w:val="000000"/>
          <w:sz w:val="20"/>
          <w:lang w:eastAsia="en-US"/>
        </w:rPr>
        <w:t>wszystko, co mu Pan dla nich nakazał</w:t>
      </w:r>
      <w:r w:rsidRPr="002A0CBE">
        <w:rPr>
          <w:rFonts w:ascii="Times New Roman" w:hAnsi="Times New Roman"/>
          <w:sz w:val="20"/>
        </w:rPr>
        <w:t xml:space="preserv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1,3)</w:t>
      </w:r>
      <w:r w:rsidRPr="002A0CBE">
        <w:rPr>
          <w:rFonts w:ascii="Times New Roman" w:hAnsi="Times New Roman"/>
          <w:sz w:val="20"/>
        </w:rPr>
        <w:t xml:space="preserve">. Stanowi to echo ostatnich słów </w:t>
      </w:r>
      <w:r w:rsidRPr="002A0CBE">
        <w:rPr>
          <w:rFonts w:ascii="Times New Roman" w:hAnsi="Times New Roman"/>
          <w:i/>
          <w:sz w:val="20"/>
        </w:rPr>
        <w:t>Księgi Liczb</w:t>
      </w:r>
      <w:r w:rsidRPr="002A0CBE">
        <w:rPr>
          <w:rFonts w:ascii="Times New Roman" w:hAnsi="Times New Roman"/>
          <w:sz w:val="20"/>
        </w:rPr>
        <w:t>, które brzmią: „</w:t>
      </w:r>
      <w:r w:rsidRPr="002A0CBE">
        <w:rPr>
          <w:rFonts w:ascii="Times New Roman" w:eastAsiaTheme="minorHAnsi" w:hAnsi="Times New Roman"/>
          <w:color w:val="000000"/>
          <w:sz w:val="20"/>
          <w:lang w:eastAsia="en-US"/>
        </w:rPr>
        <w:t>To są przykazania</w:t>
      </w:r>
      <w:r w:rsidRPr="002A0CBE">
        <w:rPr>
          <w:rFonts w:ascii="Times New Roman" w:hAnsi="Times New Roman"/>
          <w:sz w:val="20"/>
        </w:rPr>
        <w:t xml:space="preserve">” </w:t>
      </w:r>
      <w:r w:rsidRPr="002A0CBE">
        <w:rPr>
          <w:rFonts w:ascii="Times New Roman" w:hAnsi="Times New Roman"/>
          <w:iCs/>
          <w:sz w:val="20"/>
          <w:lang w:val="en-GB"/>
        </w:rPr>
        <w:t xml:space="preserve">(Lb 36,13; por. </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1,6)</w:t>
      </w:r>
      <w:r w:rsidRPr="002A0CBE">
        <w:rPr>
          <w:rFonts w:ascii="Times New Roman" w:hAnsi="Times New Roman"/>
          <w:sz w:val="20"/>
        </w:rPr>
        <w:t>.</w:t>
      </w:r>
    </w:p>
    <w:p w14:paraId="306D79A8" w14:textId="77777777" w:rsidR="002A0CBE" w:rsidRPr="002A0CBE" w:rsidRDefault="002A0CBE" w:rsidP="002A0CBE">
      <w:pPr>
        <w:rPr>
          <w:rFonts w:ascii="Times New Roman" w:hAnsi="Times New Roman"/>
          <w:sz w:val="20"/>
        </w:rPr>
      </w:pPr>
    </w:p>
    <w:p w14:paraId="72E0E863" w14:textId="77777777" w:rsidR="002A0CBE" w:rsidRPr="002A0CBE" w:rsidRDefault="002A0CBE" w:rsidP="002A0CBE">
      <w:pPr>
        <w:rPr>
          <w:rFonts w:ascii="Times New Roman" w:hAnsi="Times New Roman"/>
          <w:sz w:val="20"/>
        </w:rPr>
      </w:pPr>
      <w:r w:rsidRPr="002A0CBE">
        <w:rPr>
          <w:rFonts w:ascii="Times New Roman" w:hAnsi="Times New Roman"/>
          <w:b/>
          <w:bCs/>
          <w:sz w:val="20"/>
        </w:rPr>
        <w:t xml:space="preserve">Pytanie do przemyślenia: </w:t>
      </w:r>
      <w:r w:rsidRPr="002A0CBE">
        <w:rPr>
          <w:rFonts w:ascii="Times New Roman" w:hAnsi="Times New Roman"/>
          <w:sz w:val="20"/>
        </w:rPr>
        <w:t>Dlaczego Mojżesz musiał powtórzy prawo?</w:t>
      </w:r>
    </w:p>
    <w:p w14:paraId="39400D4F" w14:textId="77777777" w:rsidR="002A0CBE" w:rsidRPr="002A0CBE" w:rsidRDefault="002A0CBE" w:rsidP="002A0CBE">
      <w:pPr>
        <w:rPr>
          <w:rFonts w:ascii="Times New Roman" w:hAnsi="Times New Roman"/>
          <w:sz w:val="20"/>
        </w:rPr>
      </w:pPr>
    </w:p>
    <w:p w14:paraId="694B668A" w14:textId="77777777" w:rsidR="002A0CBE" w:rsidRPr="002A0CBE" w:rsidRDefault="002A0CBE" w:rsidP="002A0CBE">
      <w:pPr>
        <w:rPr>
          <w:rFonts w:ascii="Times New Roman" w:hAnsi="Times New Roman"/>
          <w:b/>
          <w:sz w:val="20"/>
        </w:rPr>
      </w:pPr>
      <w:r w:rsidRPr="002A0CBE">
        <w:rPr>
          <w:rFonts w:ascii="Times New Roman" w:hAnsi="Times New Roman"/>
          <w:b/>
          <w:sz w:val="20"/>
        </w:rPr>
        <w:t>Cztery mowy</w:t>
      </w:r>
    </w:p>
    <w:p w14:paraId="0CA9A9FB"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Mojżesz zwrócił się do swojego ludu w czterech wielkich mowach. Każda z nich rozpoczyna się wyrażeniem „oto słowa” albo jego odpowiednikiem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1,1; 4,44; 29,1; 31,1)</w:t>
      </w:r>
      <w:r w:rsidRPr="002A0CBE">
        <w:rPr>
          <w:rFonts w:ascii="Times New Roman" w:hAnsi="Times New Roman"/>
          <w:sz w:val="20"/>
        </w:rPr>
        <w:t xml:space="preserve">. Pierwsza mowa to prolog historyczny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1-4)</w:t>
      </w:r>
      <w:r w:rsidRPr="002A0CBE">
        <w:rPr>
          <w:rFonts w:ascii="Times New Roman" w:hAnsi="Times New Roman"/>
          <w:sz w:val="20"/>
        </w:rPr>
        <w:t xml:space="preserve">, w którym Mojżesz wspomina wędrówkę Izraelitów z Synaju do </w:t>
      </w:r>
      <w:proofErr w:type="spellStart"/>
      <w:r w:rsidRPr="002A0CBE">
        <w:rPr>
          <w:rFonts w:ascii="Times New Roman" w:hAnsi="Times New Roman"/>
          <w:sz w:val="20"/>
        </w:rPr>
        <w:t>Kanaanu</w:t>
      </w:r>
      <w:proofErr w:type="spellEnd"/>
      <w:r w:rsidRPr="002A0CBE">
        <w:rPr>
          <w:rFonts w:ascii="Times New Roman" w:hAnsi="Times New Roman"/>
          <w:sz w:val="20"/>
        </w:rPr>
        <w:t xml:space="preserv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1-3)</w:t>
      </w:r>
      <w:r w:rsidRPr="002A0CBE">
        <w:rPr>
          <w:rFonts w:ascii="Times New Roman" w:hAnsi="Times New Roman"/>
          <w:sz w:val="20"/>
        </w:rPr>
        <w:t xml:space="preserve">. Druga mowa to przegląd prawa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4,44-28,68)</w:t>
      </w:r>
      <w:r w:rsidRPr="002A0CBE">
        <w:rPr>
          <w:rFonts w:ascii="Times New Roman" w:hAnsi="Times New Roman"/>
          <w:sz w:val="20"/>
        </w:rPr>
        <w:t xml:space="preserve">. Trzecia mowa to wezwanie do przestrzegania przymierza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29-30)</w:t>
      </w:r>
      <w:r w:rsidRPr="002A0CBE">
        <w:rPr>
          <w:rFonts w:ascii="Times New Roman" w:hAnsi="Times New Roman"/>
          <w:sz w:val="20"/>
        </w:rPr>
        <w:t xml:space="preserve">. Czwarta mowa to ostatnie wezwanie do czytania i pamiętania prawa, zakończone pieśnią Mojżesza, błogosławieństwem i pożegnaniem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31-34)</w:t>
      </w:r>
      <w:r w:rsidRPr="002A0CBE">
        <w:rPr>
          <w:rFonts w:ascii="Times New Roman" w:hAnsi="Times New Roman"/>
          <w:sz w:val="20"/>
        </w:rPr>
        <w:t>.</w:t>
      </w:r>
    </w:p>
    <w:p w14:paraId="63EAC099" w14:textId="77777777" w:rsidR="002A0CBE" w:rsidRPr="002A0CBE" w:rsidRDefault="002A0CBE" w:rsidP="002A0CBE">
      <w:pPr>
        <w:rPr>
          <w:rFonts w:ascii="Times New Roman" w:hAnsi="Times New Roman"/>
          <w:sz w:val="20"/>
        </w:rPr>
      </w:pPr>
    </w:p>
    <w:p w14:paraId="3FEB932F" w14:textId="77777777" w:rsidR="002A0CBE" w:rsidRPr="002A0CBE" w:rsidRDefault="002A0CBE" w:rsidP="002A0CBE">
      <w:pPr>
        <w:rPr>
          <w:rFonts w:ascii="Times New Roman" w:hAnsi="Times New Roman"/>
          <w:sz w:val="20"/>
        </w:rPr>
      </w:pPr>
      <w:r w:rsidRPr="002A0CBE">
        <w:rPr>
          <w:rFonts w:ascii="Times New Roman" w:hAnsi="Times New Roman"/>
          <w:b/>
          <w:sz w:val="20"/>
        </w:rPr>
        <w:lastRenderedPageBreak/>
        <w:t>Przymierze</w:t>
      </w:r>
    </w:p>
    <w:p w14:paraId="4B7A579A" w14:textId="0D2ADA2D" w:rsidR="002A0CBE" w:rsidRPr="002A0CBE" w:rsidRDefault="002A0CBE" w:rsidP="002A0CBE">
      <w:pPr>
        <w:rPr>
          <w:rFonts w:ascii="Times New Roman" w:hAnsi="Times New Roman"/>
          <w:sz w:val="20"/>
        </w:rPr>
      </w:pPr>
      <w:r w:rsidRPr="002A0CBE">
        <w:rPr>
          <w:rFonts w:ascii="Times New Roman" w:hAnsi="Times New Roman"/>
          <w:sz w:val="20"/>
        </w:rPr>
        <w:t xml:space="preserve">Staranniejsza analiza struktury </w:t>
      </w:r>
      <w:r w:rsidRPr="002A0CBE">
        <w:rPr>
          <w:rFonts w:ascii="Times New Roman" w:hAnsi="Times New Roman"/>
          <w:i/>
          <w:sz w:val="20"/>
        </w:rPr>
        <w:t>Księgi Powtórzonego Prawa</w:t>
      </w:r>
      <w:r w:rsidRPr="002A0CBE">
        <w:rPr>
          <w:rFonts w:ascii="Times New Roman" w:hAnsi="Times New Roman"/>
          <w:sz w:val="20"/>
        </w:rPr>
        <w:t xml:space="preserve"> w świetle starożytnej bliskowschodniej literatury świadczy o przemyślanej organizacji wzorowanej na starożytnych umowach między suzerenem a</w:t>
      </w:r>
      <w:r w:rsidR="00A47653">
        <w:rPr>
          <w:rFonts w:ascii="Times New Roman" w:hAnsi="Times New Roman"/>
          <w:sz w:val="20"/>
        </w:rPr>
        <w:t> </w:t>
      </w:r>
      <w:r w:rsidRPr="002A0CBE">
        <w:rPr>
          <w:rFonts w:ascii="Times New Roman" w:hAnsi="Times New Roman"/>
          <w:sz w:val="20"/>
        </w:rPr>
        <w:t>wasalem (egipskich, a zwłaszcza hetyckich z II tysiąclecia p.n.e.), posiadających następujące elementy:</w:t>
      </w:r>
    </w:p>
    <w:p w14:paraId="2F7F8D82"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Preambuła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1,1-5)</w:t>
      </w:r>
    </w:p>
    <w:p w14:paraId="4B64708B"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Prolog historyczny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1,6-4,49)</w:t>
      </w:r>
    </w:p>
    <w:p w14:paraId="673E66CD"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Wyszczególnienia: ogólne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5-11)</w:t>
      </w:r>
      <w:r w:rsidRPr="002A0CBE">
        <w:rPr>
          <w:rFonts w:ascii="Times New Roman" w:hAnsi="Times New Roman"/>
          <w:sz w:val="20"/>
        </w:rPr>
        <w:t xml:space="preserve"> i szczegółowe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12-26)</w:t>
      </w:r>
    </w:p>
    <w:p w14:paraId="5FFAAC4C" w14:textId="77777777" w:rsidR="002A0CBE" w:rsidRPr="002A0CBE" w:rsidRDefault="002A0CBE" w:rsidP="002A0CBE">
      <w:pPr>
        <w:rPr>
          <w:rFonts w:ascii="Times New Roman" w:hAnsi="Times New Roman"/>
          <w:iCs/>
          <w:sz w:val="20"/>
          <w:lang w:val="en-GB"/>
        </w:rPr>
      </w:pPr>
      <w:r w:rsidRPr="002A0CBE">
        <w:rPr>
          <w:rFonts w:ascii="Times New Roman" w:hAnsi="Times New Roman"/>
          <w:sz w:val="20"/>
        </w:rPr>
        <w:t xml:space="preserve">• Błogosławieństwa i przekleństwa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27-28)</w:t>
      </w:r>
    </w:p>
    <w:p w14:paraId="2EB0DA0B"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 Zobowiązanie do lojalności przymierzu i świadkowie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29-30)</w:t>
      </w:r>
    </w:p>
    <w:p w14:paraId="51A9AA31" w14:textId="77777777" w:rsidR="002A0CBE" w:rsidRPr="002A0CBE" w:rsidRDefault="002A0CBE" w:rsidP="002A0CBE">
      <w:pPr>
        <w:rPr>
          <w:rFonts w:ascii="Times New Roman" w:hAnsi="Times New Roman"/>
          <w:sz w:val="20"/>
        </w:rPr>
      </w:pPr>
    </w:p>
    <w:p w14:paraId="74F2FD9A" w14:textId="77777777" w:rsidR="002A0CBE" w:rsidRPr="002A0CBE" w:rsidRDefault="002A0CBE" w:rsidP="002A0CBE">
      <w:pPr>
        <w:rPr>
          <w:rFonts w:ascii="Times New Roman" w:hAnsi="Times New Roman"/>
          <w:sz w:val="20"/>
        </w:rPr>
      </w:pPr>
      <w:r w:rsidRPr="002A0CBE">
        <w:rPr>
          <w:rFonts w:ascii="Times New Roman" w:hAnsi="Times New Roman"/>
          <w:b/>
          <w:sz w:val="20"/>
        </w:rPr>
        <w:t>Bóg w historii</w:t>
      </w:r>
    </w:p>
    <w:p w14:paraId="28F7FB0D"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Ta struktura przymierza, która potwierdza starożytność księgi i jej mojżeszowe autorstwo, sugeruje intencję zaakcentowania przymierza Boga z Jego ludem. Historyczne wydarzenia, przypomnienie zbawczych dokonań Boga dla Jego ludu, poprzedza i stanowi podstawę przymierza od czasów Abrahama i Izraelitów aż do dziś. Wydarzenia te sugerują biblijną teologię historii zdecydowanie odmienną od zachodniej koncepcji historii. Według </w:t>
      </w:r>
      <w:r w:rsidRPr="002A0CBE">
        <w:rPr>
          <w:rFonts w:ascii="Times New Roman" w:hAnsi="Times New Roman"/>
          <w:i/>
          <w:sz w:val="20"/>
        </w:rPr>
        <w:t>Biblii</w:t>
      </w:r>
      <w:r w:rsidRPr="002A0CBE">
        <w:rPr>
          <w:rFonts w:ascii="Times New Roman" w:hAnsi="Times New Roman"/>
          <w:sz w:val="20"/>
        </w:rPr>
        <w:t xml:space="preserve">, historia nie jest mechanicznym ciągiem wydarzeń opartym na zasadzie przyczyny i skutku. Jest raczej wynikiem stałej obecności Boga i Jego działania. Bóg inicjuje przymierze przez swoje działania w historii. To On pierwszy podejmuje inicjatywę i działa. Te dokonania w historii są podstawą przymierza. Bóg zawiera przymierze z jego ludem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5,3)</w:t>
      </w:r>
      <w:r w:rsidRPr="002A0CBE">
        <w:rPr>
          <w:rFonts w:ascii="Times New Roman" w:hAnsi="Times New Roman"/>
          <w:sz w:val="20"/>
        </w:rPr>
        <w:t xml:space="preserve">, gdyż jest Panem, który wyprowadził Izraelitów z ziemi egipskiej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5,6)</w:t>
      </w:r>
      <w:r w:rsidRPr="002A0CBE">
        <w:rPr>
          <w:rFonts w:ascii="Times New Roman" w:hAnsi="Times New Roman"/>
          <w:sz w:val="20"/>
        </w:rPr>
        <w:t xml:space="preserve">. Hebrajskie słowo </w:t>
      </w:r>
      <w:proofErr w:type="spellStart"/>
      <w:r w:rsidRPr="002A0CBE">
        <w:rPr>
          <w:rFonts w:ascii="Times New Roman" w:hAnsi="Times New Roman"/>
          <w:i/>
          <w:sz w:val="20"/>
        </w:rPr>
        <w:t>debarim</w:t>
      </w:r>
      <w:proofErr w:type="spellEnd"/>
      <w:r w:rsidRPr="002A0CBE">
        <w:rPr>
          <w:rFonts w:ascii="Times New Roman" w:hAnsi="Times New Roman"/>
          <w:sz w:val="20"/>
        </w:rPr>
        <w:t xml:space="preserve">, „słowa”, stanowiące hebrajski tytuł </w:t>
      </w:r>
      <w:r w:rsidRPr="002A0CBE">
        <w:rPr>
          <w:rFonts w:ascii="Times New Roman" w:hAnsi="Times New Roman"/>
          <w:i/>
          <w:sz w:val="20"/>
        </w:rPr>
        <w:t>Księgi Powtórzonego Prawa</w:t>
      </w:r>
      <w:r w:rsidRPr="002A0CBE">
        <w:rPr>
          <w:rFonts w:ascii="Times New Roman" w:hAnsi="Times New Roman"/>
          <w:sz w:val="20"/>
        </w:rPr>
        <w:t xml:space="preserve">, znaczy także „wydarzenia” i odnosi się do świętej historii Bożych zbawczych dokonań. </w:t>
      </w:r>
      <w:r w:rsidRPr="002A0CBE">
        <w:rPr>
          <w:rFonts w:ascii="Times New Roman" w:hAnsi="Times New Roman"/>
          <w:i/>
          <w:sz w:val="20"/>
        </w:rPr>
        <w:t>Księga Kronik</w:t>
      </w:r>
      <w:r w:rsidRPr="002A0CBE">
        <w:rPr>
          <w:rFonts w:ascii="Times New Roman" w:hAnsi="Times New Roman"/>
          <w:sz w:val="20"/>
        </w:rPr>
        <w:t xml:space="preserve">, która wspomina dzieje starotestamentowe, nosi nazwę </w:t>
      </w:r>
      <w:proofErr w:type="spellStart"/>
      <w:r w:rsidRPr="002A0CBE">
        <w:rPr>
          <w:rFonts w:ascii="Times New Roman" w:hAnsi="Times New Roman"/>
          <w:i/>
          <w:sz w:val="20"/>
        </w:rPr>
        <w:t>dibrej</w:t>
      </w:r>
      <w:proofErr w:type="spellEnd"/>
      <w:r w:rsidRPr="002A0CBE">
        <w:rPr>
          <w:rFonts w:ascii="Times New Roman" w:hAnsi="Times New Roman"/>
          <w:i/>
          <w:sz w:val="20"/>
        </w:rPr>
        <w:t xml:space="preserve"> </w:t>
      </w:r>
      <w:proofErr w:type="spellStart"/>
      <w:r w:rsidRPr="002A0CBE">
        <w:rPr>
          <w:rFonts w:ascii="Times New Roman" w:hAnsi="Times New Roman"/>
          <w:i/>
          <w:sz w:val="20"/>
        </w:rPr>
        <w:t>hajammim</w:t>
      </w:r>
      <w:proofErr w:type="spellEnd"/>
      <w:r w:rsidRPr="002A0CBE">
        <w:rPr>
          <w:rFonts w:ascii="Times New Roman" w:hAnsi="Times New Roman"/>
          <w:sz w:val="20"/>
        </w:rPr>
        <w:t>, „słowa dni”. Słowa Boga należy czytać przez pryzmat tych historycznych wydarzeń.</w:t>
      </w:r>
    </w:p>
    <w:p w14:paraId="4C66F02C" w14:textId="77777777" w:rsidR="002A0CBE" w:rsidRPr="002A0CBE" w:rsidRDefault="002A0CBE" w:rsidP="002A0CBE">
      <w:pPr>
        <w:rPr>
          <w:rFonts w:ascii="Times New Roman" w:hAnsi="Times New Roman"/>
          <w:sz w:val="20"/>
        </w:rPr>
      </w:pPr>
    </w:p>
    <w:p w14:paraId="2418A8A5" w14:textId="77777777" w:rsidR="002A0CBE" w:rsidRPr="002A0CBE" w:rsidRDefault="002A0CBE" w:rsidP="002A0CBE">
      <w:pPr>
        <w:rPr>
          <w:rFonts w:ascii="Times New Roman" w:hAnsi="Times New Roman"/>
          <w:sz w:val="20"/>
        </w:rPr>
      </w:pPr>
      <w:r w:rsidRPr="002A0CBE">
        <w:rPr>
          <w:rFonts w:ascii="Times New Roman" w:hAnsi="Times New Roman"/>
          <w:b/>
          <w:bCs/>
          <w:sz w:val="20"/>
        </w:rPr>
        <w:t xml:space="preserve">Pytanie do omówienia i przemyślenia: </w:t>
      </w:r>
      <w:r w:rsidRPr="002A0CBE">
        <w:rPr>
          <w:rFonts w:ascii="Times New Roman" w:hAnsi="Times New Roman"/>
          <w:sz w:val="20"/>
        </w:rPr>
        <w:t xml:space="preserve">Czego możemy się nauczyć o Bogu z faktu, iż to samo hebrajskie słowo </w:t>
      </w:r>
      <w:proofErr w:type="spellStart"/>
      <w:r w:rsidRPr="002A0CBE">
        <w:rPr>
          <w:rFonts w:ascii="Times New Roman" w:hAnsi="Times New Roman"/>
          <w:i/>
          <w:sz w:val="20"/>
        </w:rPr>
        <w:t>dabar</w:t>
      </w:r>
      <w:proofErr w:type="spellEnd"/>
      <w:r w:rsidRPr="002A0CBE">
        <w:rPr>
          <w:rFonts w:ascii="Times New Roman" w:hAnsi="Times New Roman"/>
          <w:sz w:val="20"/>
        </w:rPr>
        <w:t xml:space="preserve"> oznacza „słowo” i „historię”?</w:t>
      </w:r>
    </w:p>
    <w:p w14:paraId="610A818E" w14:textId="77777777" w:rsidR="002A0CBE" w:rsidRPr="002A0CBE" w:rsidRDefault="002A0CBE" w:rsidP="002A0CBE">
      <w:pPr>
        <w:rPr>
          <w:rFonts w:ascii="Times New Roman" w:hAnsi="Times New Roman"/>
          <w:sz w:val="20"/>
        </w:rPr>
      </w:pPr>
    </w:p>
    <w:p w14:paraId="6B190697" w14:textId="77777777" w:rsidR="002A0CBE" w:rsidRPr="002A0CBE" w:rsidRDefault="002A0CBE" w:rsidP="002A0CBE">
      <w:pPr>
        <w:rPr>
          <w:rFonts w:ascii="Times New Roman" w:hAnsi="Times New Roman"/>
          <w:sz w:val="20"/>
        </w:rPr>
      </w:pPr>
      <w:r w:rsidRPr="002A0CBE">
        <w:rPr>
          <w:rFonts w:ascii="Times New Roman" w:hAnsi="Times New Roman"/>
          <w:b/>
          <w:sz w:val="20"/>
        </w:rPr>
        <w:t>Zasada miłości</w:t>
      </w:r>
    </w:p>
    <w:p w14:paraId="3A1EBF2C" w14:textId="77777777" w:rsidR="002A0CBE" w:rsidRPr="002A0CBE" w:rsidRDefault="002A0CBE" w:rsidP="002A0CBE">
      <w:pPr>
        <w:rPr>
          <w:rFonts w:ascii="Times New Roman" w:hAnsi="Times New Roman"/>
          <w:sz w:val="20"/>
        </w:rPr>
      </w:pPr>
      <w:r w:rsidRPr="002A0CBE">
        <w:rPr>
          <w:rFonts w:ascii="Times New Roman" w:hAnsi="Times New Roman"/>
          <w:sz w:val="20"/>
        </w:rPr>
        <w:t xml:space="preserve">Fundamentalną zasadą przymierza Boga z Jego ludem jest miłość. Czasownik „miłować” często występuje w </w:t>
      </w:r>
      <w:r w:rsidRPr="002A0CBE">
        <w:rPr>
          <w:rFonts w:ascii="Times New Roman" w:hAnsi="Times New Roman"/>
          <w:i/>
          <w:sz w:val="20"/>
        </w:rPr>
        <w:t>Księdze Powtórzonego Prawa</w:t>
      </w:r>
      <w:r w:rsidRPr="002A0CBE">
        <w:rPr>
          <w:rFonts w:ascii="Times New Roman" w:hAnsi="Times New Roman"/>
          <w:sz w:val="20"/>
        </w:rPr>
        <w:t xml:space="preserve">, nie tylko w odniesieniu miłości Boga do Jego ludu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4,37; 7,8; 10,15; 23,5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ale także miłości Izraelitów do Boga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6,5; 7,9; 10,12)</w:t>
      </w:r>
      <w:r w:rsidRPr="002A0CBE">
        <w:rPr>
          <w:rFonts w:ascii="Times New Roman" w:hAnsi="Times New Roman"/>
          <w:sz w:val="20"/>
        </w:rPr>
        <w:t xml:space="preserve">. W księdze tej boska miłość jest opisana jako coś więcej niż sentymentalna emocja. Miłość Boża jest silna i nieskończona, a przejawia się w wydarzeniach, które ukazują jej intensywność, autentyczność i nieskończoną naturę. Z tej miłości Bóg stworzył niebo i Ziemię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10,14; 4,35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a także wkroczył na arenę dziejów i zbawił swój lud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1,27-31; 4,20)</w:t>
      </w:r>
      <w:r w:rsidRPr="002A0CBE">
        <w:rPr>
          <w:rFonts w:ascii="Times New Roman" w:hAnsi="Times New Roman"/>
          <w:sz w:val="20"/>
        </w:rPr>
        <w:t>. W odpowiedzi na miłość Boga Izrael, lud przymierza, został wezwany przez Boga: „</w:t>
      </w:r>
      <w:r w:rsidRPr="002A0CBE">
        <w:rPr>
          <w:rFonts w:ascii="Times New Roman" w:eastAsiaTheme="minorHAnsi" w:hAnsi="Times New Roman"/>
          <w:color w:val="000000"/>
          <w:sz w:val="20"/>
          <w:lang w:eastAsia="en-US"/>
        </w:rPr>
        <w:t>Będziesz tedy miłował Pana, Boga swego, z całego serca swego i z całej duszy swojej, i z całej siły swojej</w:t>
      </w:r>
      <w:r w:rsidRPr="002A0CBE">
        <w:rPr>
          <w:rFonts w:ascii="Times New Roman" w:hAnsi="Times New Roman"/>
          <w:sz w:val="20"/>
        </w:rPr>
        <w:t xml:space="preserve">”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6,5)</w:t>
      </w:r>
      <w:r w:rsidRPr="002A0CBE">
        <w:rPr>
          <w:rFonts w:ascii="Times New Roman" w:hAnsi="Times New Roman"/>
          <w:sz w:val="20"/>
        </w:rPr>
        <w:t xml:space="preserve">. Oznacza to, że powinni pamiętać o Bogu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7,18; 9,7; 24,9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słuchać Go, starać się rozmieć Jego słowa i być im posłuszni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4,1; 6,4; 20,3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bać się Go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xml:space="preserve"> 4,10; 5,29; 17; 19; 31,12 </w:t>
      </w:r>
      <w:proofErr w:type="spellStart"/>
      <w:r w:rsidRPr="002A0CBE">
        <w:rPr>
          <w:rFonts w:ascii="Times New Roman" w:hAnsi="Times New Roman"/>
          <w:iCs/>
          <w:sz w:val="20"/>
          <w:lang w:val="en-GB"/>
        </w:rPr>
        <w:t>itd</w:t>
      </w:r>
      <w:proofErr w:type="spellEnd"/>
      <w:r w:rsidRPr="002A0CBE">
        <w:rPr>
          <w:rFonts w:ascii="Times New Roman" w:hAnsi="Times New Roman"/>
          <w:iCs/>
          <w:sz w:val="20"/>
          <w:lang w:val="en-GB"/>
        </w:rPr>
        <w:t>.)</w:t>
      </w:r>
      <w:r w:rsidRPr="002A0CBE">
        <w:rPr>
          <w:rFonts w:ascii="Times New Roman" w:hAnsi="Times New Roman"/>
          <w:sz w:val="20"/>
        </w:rPr>
        <w:t xml:space="preserve"> i służyć Mu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6,13; 28,47-48 etc.)</w:t>
      </w:r>
      <w:r w:rsidRPr="002A0CBE">
        <w:rPr>
          <w:rFonts w:ascii="Times New Roman" w:hAnsi="Times New Roman"/>
          <w:sz w:val="20"/>
        </w:rPr>
        <w:t>.</w:t>
      </w:r>
    </w:p>
    <w:p w14:paraId="4898DF9D" w14:textId="77777777" w:rsidR="002A0CBE" w:rsidRPr="002A0CBE" w:rsidRDefault="002A0CBE" w:rsidP="002A0CBE">
      <w:pPr>
        <w:rPr>
          <w:rFonts w:ascii="Times New Roman" w:hAnsi="Times New Roman"/>
          <w:sz w:val="20"/>
        </w:rPr>
      </w:pPr>
    </w:p>
    <w:p w14:paraId="2BC761B4"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0"/>
        </w:rPr>
      </w:pPr>
      <w:r w:rsidRPr="002A0CBE">
        <w:rPr>
          <w:rFonts w:ascii="Times New Roman" w:hAnsi="Times New Roman"/>
          <w:b/>
          <w:bCs/>
          <w:sz w:val="20"/>
        </w:rPr>
        <w:t xml:space="preserve">Pytanie do omówienia i przemyślenia: </w:t>
      </w:r>
      <w:r w:rsidRPr="002A0CBE">
        <w:rPr>
          <w:rFonts w:ascii="Times New Roman" w:hAnsi="Times New Roman"/>
          <w:bCs/>
          <w:sz w:val="20"/>
        </w:rPr>
        <w:t>Dlaczego prawdziwa miłość to coś więcej niż przemijająca emocja? Dlaczego przykazania Boże są „wykładnią miłości” (</w:t>
      </w:r>
      <w:proofErr w:type="spellStart"/>
      <w:r w:rsidRPr="002A0CBE">
        <w:rPr>
          <w:rFonts w:ascii="Times New Roman" w:hAnsi="Times New Roman"/>
          <w:bCs/>
          <w:sz w:val="20"/>
        </w:rPr>
        <w:t>Ellen</w:t>
      </w:r>
      <w:proofErr w:type="spellEnd"/>
      <w:r w:rsidRPr="002A0CBE">
        <w:rPr>
          <w:rFonts w:ascii="Times New Roman" w:hAnsi="Times New Roman"/>
          <w:bCs/>
          <w:sz w:val="20"/>
        </w:rPr>
        <w:t xml:space="preserve"> G. White, </w:t>
      </w:r>
      <w:r w:rsidRPr="002A0CBE">
        <w:rPr>
          <w:rFonts w:ascii="Times New Roman" w:hAnsi="Times New Roman"/>
          <w:bCs/>
          <w:i/>
          <w:sz w:val="20"/>
        </w:rPr>
        <w:t>Życie Jezusa</w:t>
      </w:r>
      <w:r w:rsidRPr="002A0CBE">
        <w:rPr>
          <w:rFonts w:ascii="Times New Roman" w:hAnsi="Times New Roman"/>
          <w:bCs/>
          <w:sz w:val="20"/>
        </w:rPr>
        <w:t>, wyd. 16, Warszawa 2018, s. 449).</w:t>
      </w:r>
    </w:p>
    <w:p w14:paraId="1AFBFDCD"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0"/>
        </w:rPr>
      </w:pPr>
    </w:p>
    <w:p w14:paraId="504458EB"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0"/>
        </w:rPr>
      </w:pPr>
      <w:r w:rsidRPr="002A0CBE">
        <w:rPr>
          <w:rFonts w:ascii="Times New Roman" w:hAnsi="Times New Roman"/>
          <w:b/>
          <w:bCs/>
          <w:sz w:val="20"/>
        </w:rPr>
        <w:t>Wezwanie do studiowania</w:t>
      </w:r>
    </w:p>
    <w:p w14:paraId="69141918"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i/>
          <w:sz w:val="20"/>
        </w:rPr>
        <w:t>Księga Powtórzonego Prawa</w:t>
      </w:r>
      <w:r w:rsidRPr="002A0CBE">
        <w:rPr>
          <w:rFonts w:ascii="Times New Roman" w:hAnsi="Times New Roman"/>
          <w:sz w:val="20"/>
        </w:rPr>
        <w:t xml:space="preserve"> jest mocnym wezwaniem do studiowania i nauczania Słowa Bożego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6,7)</w:t>
      </w:r>
      <w:r w:rsidRPr="002A0CBE">
        <w:rPr>
          <w:rFonts w:ascii="Times New Roman" w:hAnsi="Times New Roman"/>
          <w:sz w:val="20"/>
        </w:rPr>
        <w:t xml:space="preserve">, księgą cenioną zarówno przez judaistów, jak i chrześcijan jako jedna z najważniejszych ksiąg </w:t>
      </w:r>
      <w:r w:rsidRPr="002A0CBE">
        <w:rPr>
          <w:rFonts w:ascii="Times New Roman" w:hAnsi="Times New Roman"/>
          <w:i/>
          <w:sz w:val="20"/>
        </w:rPr>
        <w:t>Pisma Świętego</w:t>
      </w:r>
      <w:r w:rsidRPr="002A0CBE">
        <w:rPr>
          <w:rFonts w:ascii="Times New Roman" w:hAnsi="Times New Roman"/>
          <w:sz w:val="20"/>
        </w:rPr>
        <w:t xml:space="preserve">. Jest to księga, która zawiera </w:t>
      </w:r>
      <w:proofErr w:type="spellStart"/>
      <w:r w:rsidRPr="002A0CBE">
        <w:rPr>
          <w:rFonts w:ascii="Times New Roman" w:hAnsi="Times New Roman"/>
          <w:i/>
          <w:sz w:val="20"/>
        </w:rPr>
        <w:t>Szema</w:t>
      </w:r>
      <w:proofErr w:type="spellEnd"/>
      <w:r w:rsidRPr="002A0CBE">
        <w:rPr>
          <w:rFonts w:ascii="Times New Roman" w:hAnsi="Times New Roman"/>
          <w:i/>
          <w:sz w:val="20"/>
        </w:rPr>
        <w:t xml:space="preserve"> </w:t>
      </w:r>
      <w:proofErr w:type="spellStart"/>
      <w:r w:rsidRPr="002A0CBE">
        <w:rPr>
          <w:rFonts w:ascii="Times New Roman" w:hAnsi="Times New Roman"/>
          <w:i/>
          <w:sz w:val="20"/>
        </w:rPr>
        <w:t>Israel</w:t>
      </w:r>
      <w:proofErr w:type="spellEnd"/>
      <w:r w:rsidRPr="002A0CBE">
        <w:rPr>
          <w:rFonts w:ascii="Times New Roman" w:hAnsi="Times New Roman"/>
          <w:sz w:val="20"/>
        </w:rPr>
        <w:t xml:space="preserve">, „Słuchaj, Izraelu” </w:t>
      </w:r>
      <w:r w:rsidRPr="002A0CBE">
        <w:rPr>
          <w:rFonts w:ascii="Times New Roman" w:hAnsi="Times New Roman"/>
          <w:iCs/>
          <w:sz w:val="20"/>
          <w:lang w:val="en-GB"/>
        </w:rPr>
        <w:t>(</w:t>
      </w:r>
      <w:proofErr w:type="spellStart"/>
      <w:r w:rsidRPr="002A0CBE">
        <w:rPr>
          <w:rFonts w:ascii="Times New Roman" w:hAnsi="Times New Roman"/>
          <w:iCs/>
          <w:sz w:val="20"/>
          <w:lang w:val="en-GB"/>
        </w:rPr>
        <w:t>Pwt</w:t>
      </w:r>
      <w:proofErr w:type="spellEnd"/>
      <w:r w:rsidRPr="002A0CBE">
        <w:rPr>
          <w:rFonts w:ascii="Times New Roman" w:hAnsi="Times New Roman"/>
          <w:iCs/>
          <w:sz w:val="20"/>
          <w:lang w:val="en-GB"/>
        </w:rPr>
        <w:t> 6,4)</w:t>
      </w:r>
      <w:r w:rsidRPr="002A0CBE">
        <w:rPr>
          <w:rFonts w:ascii="Times New Roman" w:hAnsi="Times New Roman"/>
          <w:sz w:val="20"/>
        </w:rPr>
        <w:t xml:space="preserve">, modlitwę będącą ważnym elementem żydowskiej tożsamości. Jest to księga zachowująca swoja aktualność dla ludu Bożego także w czasie końca, kiedy wierzący mają wkroczyć do Ziemi Obiecanej przygotowanej dla nich przez Pana </w:t>
      </w:r>
      <w:r w:rsidRPr="002A0CBE">
        <w:rPr>
          <w:rFonts w:ascii="Times New Roman" w:hAnsi="Times New Roman"/>
          <w:iCs/>
          <w:sz w:val="20"/>
          <w:lang w:val="en-GB"/>
        </w:rPr>
        <w:t>(J 14,2)</w:t>
      </w:r>
      <w:r w:rsidRPr="002A0CBE">
        <w:rPr>
          <w:rFonts w:ascii="Times New Roman" w:hAnsi="Times New Roman"/>
          <w:sz w:val="20"/>
        </w:rPr>
        <w:t>. „</w:t>
      </w:r>
      <w:r w:rsidRPr="002A0CBE">
        <w:rPr>
          <w:rFonts w:ascii="Times New Roman" w:hAnsi="Times New Roman"/>
          <w:i/>
          <w:sz w:val="20"/>
        </w:rPr>
        <w:t>Księga Powtórzonego Prawa</w:t>
      </w:r>
      <w:r w:rsidRPr="002A0CBE">
        <w:rPr>
          <w:rFonts w:ascii="Times New Roman" w:hAnsi="Times New Roman"/>
          <w:sz w:val="20"/>
        </w:rPr>
        <w:t xml:space="preserve"> powinna być starannie studiowana przez tych, którzy obecnie żyją na Ziemi” (</w:t>
      </w:r>
      <w:r w:rsidRPr="002A0CBE">
        <w:rPr>
          <w:rFonts w:ascii="Times New Roman" w:hAnsi="Times New Roman"/>
          <w:sz w:val="20"/>
          <w:lang w:val="en-GB"/>
        </w:rPr>
        <w:t xml:space="preserve">Ellen G. White, w: Advent </w:t>
      </w:r>
      <w:r w:rsidRPr="002A0CBE">
        <w:rPr>
          <w:rFonts w:ascii="Times New Roman" w:hAnsi="Times New Roman"/>
          <w:i/>
          <w:iCs/>
          <w:sz w:val="20"/>
          <w:lang w:val="en-GB"/>
        </w:rPr>
        <w:t>Review and Sabbath Herald</w:t>
      </w:r>
      <w:r w:rsidRPr="002A0CBE">
        <w:rPr>
          <w:rFonts w:ascii="Times New Roman" w:hAnsi="Times New Roman"/>
          <w:sz w:val="20"/>
          <w:lang w:val="en-GB"/>
        </w:rPr>
        <w:t>, 31.12.1903</w:t>
      </w:r>
      <w:r w:rsidRPr="002A0CBE">
        <w:rPr>
          <w:rFonts w:ascii="Times New Roman" w:hAnsi="Times New Roman"/>
          <w:sz w:val="20"/>
        </w:rPr>
        <w:t>).</w:t>
      </w:r>
    </w:p>
    <w:p w14:paraId="431392DF"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0F65717"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bCs/>
          <w:sz w:val="20"/>
        </w:rPr>
        <w:t xml:space="preserve">Pytanie do omówienia i przemyślenia: </w:t>
      </w:r>
      <w:r w:rsidRPr="002A0CBE">
        <w:rPr>
          <w:rFonts w:ascii="Times New Roman" w:hAnsi="Times New Roman"/>
          <w:sz w:val="20"/>
        </w:rPr>
        <w:t xml:space="preserve">Dlaczego studiowanie </w:t>
      </w:r>
      <w:r w:rsidRPr="002A0CBE">
        <w:rPr>
          <w:rFonts w:ascii="Times New Roman" w:hAnsi="Times New Roman"/>
          <w:i/>
          <w:sz w:val="20"/>
        </w:rPr>
        <w:t>Biblii</w:t>
      </w:r>
      <w:r w:rsidRPr="002A0CBE">
        <w:rPr>
          <w:rFonts w:ascii="Times New Roman" w:hAnsi="Times New Roman"/>
          <w:sz w:val="20"/>
        </w:rPr>
        <w:t xml:space="preserve"> powinno być ważnym składnikiem duchowego życia adwentystów dnia siódmego? Znajdź w </w:t>
      </w:r>
      <w:r w:rsidRPr="002A0CBE">
        <w:rPr>
          <w:rFonts w:ascii="Times New Roman" w:hAnsi="Times New Roman"/>
          <w:i/>
          <w:sz w:val="20"/>
        </w:rPr>
        <w:t>Biblii</w:t>
      </w:r>
      <w:r w:rsidRPr="002A0CBE">
        <w:rPr>
          <w:rFonts w:ascii="Times New Roman" w:hAnsi="Times New Roman"/>
          <w:sz w:val="20"/>
        </w:rPr>
        <w:t xml:space="preserve"> przykłady ludzi, którzy podkreślali studiowanie Słowa Bożego jako religijny obowiązek.</w:t>
      </w:r>
    </w:p>
    <w:p w14:paraId="657804A4"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856E803"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b/>
          <w:sz w:val="20"/>
        </w:rPr>
        <w:t>Część III: Zastosowanie</w:t>
      </w:r>
    </w:p>
    <w:p w14:paraId="7480EF43"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sz w:val="20"/>
        </w:rPr>
        <w:t xml:space="preserve">Nie wystarczy słuchać Słowa Bożego i studiować je. Musimy żyć zgodnie z tym, co słyszymy i rozumiemy. Kiedy byłem (Jacques </w:t>
      </w:r>
      <w:proofErr w:type="spellStart"/>
      <w:r w:rsidRPr="002A0CBE">
        <w:rPr>
          <w:rFonts w:ascii="Times New Roman" w:hAnsi="Times New Roman"/>
          <w:sz w:val="20"/>
        </w:rPr>
        <w:t>Doukhan</w:t>
      </w:r>
      <w:proofErr w:type="spellEnd"/>
      <w:r w:rsidRPr="002A0CBE">
        <w:rPr>
          <w:rFonts w:ascii="Times New Roman" w:hAnsi="Times New Roman"/>
          <w:sz w:val="20"/>
        </w:rPr>
        <w:t>) dzieckiem, usłyszałem od mojego rabina ustne podanie o człowieku, którzy znalazł cudowną trąbkę na rynku. Sprzedawca wychwalał jej magiczne właściwości:</w:t>
      </w:r>
    </w:p>
    <w:p w14:paraId="1167CC89"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sz w:val="20"/>
        </w:rPr>
        <w:t>- Ta trąbka ma cudowną moc - wołał. - Kiedy zatrąbisz na niej, natychmiast ugasisz pożar domu.</w:t>
      </w:r>
    </w:p>
    <w:p w14:paraId="561E6C86"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sz w:val="20"/>
        </w:rPr>
        <w:t>Kiedy mężczyzna nabył trąbkę i wrócił z nią do domu, natychmiast postanowił ją wypróbować. Podpalił swój dom i zaczął trąbić. Im głośniej trąbił, tym płomieniem szybciej pożerały dom, aż spalił się doszczętnie. Rozwścieczony mężczyzna pobiegł na rynek, by złożyć zażalenie. Wtedy sprzedawca wyjaśnił mu, że trąbka nie służy do gaszenia ognia, ale zwołania ludzi, którzy pomogą ugasić pożar.</w:t>
      </w:r>
    </w:p>
    <w:p w14:paraId="683638D4" w14:textId="77777777" w:rsidR="002A0CBE" w:rsidRPr="002A0CBE" w:rsidRDefault="002A0CBE" w:rsidP="002A0C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2A0CBE">
        <w:rPr>
          <w:rFonts w:ascii="Times New Roman" w:hAnsi="Times New Roman"/>
          <w:sz w:val="20"/>
        </w:rPr>
        <w:t xml:space="preserve">Jedną z najważniejszych różnic między Bogiem a ludźmi jest to, że kiedy Bóg mówi, wówczas to, co mówi, staje się rzeczywistością. Znajdź w </w:t>
      </w:r>
      <w:r w:rsidRPr="002A0CBE">
        <w:rPr>
          <w:rFonts w:ascii="Times New Roman" w:hAnsi="Times New Roman"/>
          <w:i/>
          <w:sz w:val="20"/>
        </w:rPr>
        <w:t>Biblii</w:t>
      </w:r>
      <w:r w:rsidRPr="002A0CBE">
        <w:rPr>
          <w:rFonts w:ascii="Times New Roman" w:hAnsi="Times New Roman"/>
          <w:sz w:val="20"/>
        </w:rPr>
        <w:t xml:space="preserve"> przykłady ilustrujące tę zasadę. Dla porównania, znajdź w historii i życiu politycznym czy własnej egzystencji przykłady ilustrujące rozbieżność między słowami i czynami.</w:t>
      </w:r>
    </w:p>
    <w:p w14:paraId="197D7E4E" w14:textId="21A99F7F" w:rsidR="002B7FC3" w:rsidRPr="002A0CBE" w:rsidRDefault="002B7FC3" w:rsidP="002A0CBE">
      <w:pPr>
        <w:rPr>
          <w:rFonts w:ascii="Times New Roman" w:hAnsi="Times New Roman"/>
          <w:sz w:val="20"/>
        </w:rPr>
      </w:pPr>
    </w:p>
    <w:sectPr w:rsidR="002B7FC3" w:rsidRPr="002A0C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9661" w14:textId="77777777" w:rsidR="00686925" w:rsidRDefault="00686925" w:rsidP="00A820C9">
      <w:r>
        <w:separator/>
      </w:r>
    </w:p>
  </w:endnote>
  <w:endnote w:type="continuationSeparator" w:id="0">
    <w:p w14:paraId="02CCC6D8" w14:textId="77777777" w:rsidR="00686925" w:rsidRDefault="0068692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1DB6" w14:textId="77777777" w:rsidR="00686925" w:rsidRDefault="00686925" w:rsidP="00A820C9">
      <w:r>
        <w:separator/>
      </w:r>
    </w:p>
  </w:footnote>
  <w:footnote w:type="continuationSeparator" w:id="0">
    <w:p w14:paraId="6D3A5FE1" w14:textId="77777777" w:rsidR="00686925" w:rsidRDefault="0068692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1EA5082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262338">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12495772" w14:textId="3EC7B270"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262338">
      <w:rPr>
        <w:rFonts w:ascii="Times New Roman" w:hAnsi="Times New Roman"/>
        <w:sz w:val="16"/>
        <w:szCs w:val="16"/>
      </w:rPr>
      <w:t>1</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262338">
      <w:rPr>
        <w:rFonts w:ascii="Times New Roman" w:hAnsi="Times New Roman"/>
        <w:sz w:val="16"/>
        <w:szCs w:val="16"/>
      </w:rPr>
      <w:t>Wstęp do Księgi Powtórzonego Prawa</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30250"/>
    <w:rsid w:val="00131D4E"/>
    <w:rsid w:val="001344DC"/>
    <w:rsid w:val="001407C0"/>
    <w:rsid w:val="0015413F"/>
    <w:rsid w:val="00160A2E"/>
    <w:rsid w:val="00161F23"/>
    <w:rsid w:val="001634CA"/>
    <w:rsid w:val="00167273"/>
    <w:rsid w:val="0017267D"/>
    <w:rsid w:val="00172E60"/>
    <w:rsid w:val="001900C2"/>
    <w:rsid w:val="00191138"/>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D3EDC"/>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585B"/>
    <w:rsid w:val="00457757"/>
    <w:rsid w:val="004622A1"/>
    <w:rsid w:val="004765D6"/>
    <w:rsid w:val="004A07EB"/>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38E5"/>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86925"/>
    <w:rsid w:val="00690562"/>
    <w:rsid w:val="006960FC"/>
    <w:rsid w:val="006A77D5"/>
    <w:rsid w:val="006B4286"/>
    <w:rsid w:val="006C1AD2"/>
    <w:rsid w:val="006C3510"/>
    <w:rsid w:val="006C423D"/>
    <w:rsid w:val="006D05BE"/>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0084"/>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821"/>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A5879"/>
    <w:rsid w:val="00BA7EDD"/>
    <w:rsid w:val="00BC756F"/>
    <w:rsid w:val="00BD0104"/>
    <w:rsid w:val="00BE5836"/>
    <w:rsid w:val="00C01278"/>
    <w:rsid w:val="00C045AF"/>
    <w:rsid w:val="00C14432"/>
    <w:rsid w:val="00C16A0D"/>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60CC8"/>
    <w:rsid w:val="00E70CA3"/>
    <w:rsid w:val="00E74F52"/>
    <w:rsid w:val="00E7674E"/>
    <w:rsid w:val="00E8687A"/>
    <w:rsid w:val="00E86CB7"/>
    <w:rsid w:val="00E9226C"/>
    <w:rsid w:val="00E95C9D"/>
    <w:rsid w:val="00EB1FDE"/>
    <w:rsid w:val="00EB34DD"/>
    <w:rsid w:val="00EF226A"/>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1385</Words>
  <Characters>7813</Characters>
  <Application>Microsoft Office Word</Application>
  <DocSecurity>0</DocSecurity>
  <Lines>120</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2021-01-27T17:24:00Z</cp:lastPrinted>
  <dcterms:created xsi:type="dcterms:W3CDTF">2021-08-25T09:27:00Z</dcterms:created>
  <dcterms:modified xsi:type="dcterms:W3CDTF">2021-09-17T08:59:00Z</dcterms:modified>
</cp:coreProperties>
</file>