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3AE751DD"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3F7123">
        <w:rPr>
          <w:rFonts w:ascii="Times New Roman" w:hAnsi="Times New Roman"/>
          <w:sz w:val="20"/>
        </w:rPr>
        <w:t>3</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3F7123">
        <w:rPr>
          <w:rFonts w:ascii="Times New Roman" w:hAnsi="Times New Roman"/>
          <w:sz w:val="20"/>
        </w:rPr>
        <w:t>18</w:t>
      </w:r>
      <w:r w:rsidR="001A15F5">
        <w:rPr>
          <w:rFonts w:ascii="Times New Roman" w:hAnsi="Times New Roman"/>
          <w:sz w:val="20"/>
        </w:rPr>
        <w:t xml:space="preserve"> stycznia</w:t>
      </w:r>
    </w:p>
    <w:p w14:paraId="60889406" w14:textId="77777777" w:rsidR="006A7DF1" w:rsidRDefault="006A7DF1" w:rsidP="00D7590D">
      <w:pPr>
        <w:ind w:firstLine="0"/>
        <w:jc w:val="center"/>
        <w:rPr>
          <w:rFonts w:ascii="Times New Roman" w:hAnsi="Times New Roman"/>
          <w:b/>
          <w:bCs/>
          <w:sz w:val="28"/>
          <w:szCs w:val="28"/>
        </w:rPr>
      </w:pPr>
    </w:p>
    <w:p w14:paraId="49B70D6E" w14:textId="01E38964" w:rsidR="00A03BC6" w:rsidRPr="00A03BC6" w:rsidRDefault="003F7123" w:rsidP="00A03BC6">
      <w:pPr>
        <w:jc w:val="center"/>
        <w:rPr>
          <w:rFonts w:ascii="Times New Roman" w:hAnsi="Times New Roman"/>
          <w:b/>
          <w:bCs/>
          <w:iCs/>
          <w:sz w:val="28"/>
          <w:szCs w:val="28"/>
        </w:rPr>
      </w:pPr>
      <w:r>
        <w:rPr>
          <w:rFonts w:ascii="Times New Roman" w:hAnsi="Times New Roman"/>
          <w:b/>
          <w:bCs/>
          <w:iCs/>
          <w:sz w:val="28"/>
          <w:szCs w:val="28"/>
        </w:rPr>
        <w:t>BYĆ MIŁYM BOGU</w:t>
      </w:r>
    </w:p>
    <w:p w14:paraId="0A9336EE" w14:textId="77777777" w:rsidR="0044168C" w:rsidRPr="00803013" w:rsidRDefault="0044168C" w:rsidP="0044168C">
      <w:pPr>
        <w:rPr>
          <w:rFonts w:ascii="Times New Roman" w:eastAsia="Microsoft JhengHei" w:hAnsi="Times New Roman"/>
          <w:b/>
          <w:bCs/>
          <w:spacing w:val="4"/>
          <w:kern w:val="16"/>
          <w:sz w:val="20"/>
        </w:rPr>
      </w:pPr>
    </w:p>
    <w:p w14:paraId="2E51350E" w14:textId="77777777" w:rsidR="00DA3F6E" w:rsidRPr="000124A3" w:rsidRDefault="00DA3F6E" w:rsidP="00DA3F6E">
      <w:pPr>
        <w:ind w:firstLine="0"/>
        <w:rPr>
          <w:rFonts w:ascii="Times New Roman" w:hAnsi="Times New Roman"/>
          <w:sz w:val="20"/>
        </w:rPr>
      </w:pPr>
      <w:r w:rsidRPr="000124A3">
        <w:rPr>
          <w:rFonts w:ascii="Times New Roman" w:hAnsi="Times New Roman"/>
          <w:b/>
          <w:sz w:val="20"/>
        </w:rPr>
        <w:t>Część I: Przegląd</w:t>
      </w:r>
    </w:p>
    <w:p w14:paraId="7C6D2D8D" w14:textId="77777777" w:rsidR="00DA3F6E" w:rsidRPr="000124A3" w:rsidRDefault="00DA3F6E" w:rsidP="00DA3F6E">
      <w:pPr>
        <w:rPr>
          <w:rFonts w:ascii="Times New Roman" w:hAnsi="Times New Roman"/>
          <w:sz w:val="20"/>
        </w:rPr>
      </w:pPr>
    </w:p>
    <w:p w14:paraId="037987C4" w14:textId="77777777" w:rsidR="00DA3F6E" w:rsidRPr="000124A3" w:rsidRDefault="00DA3F6E" w:rsidP="00DA3F6E">
      <w:pPr>
        <w:ind w:firstLine="0"/>
        <w:rPr>
          <w:rFonts w:ascii="Times New Roman" w:hAnsi="Times New Roman"/>
          <w:b/>
          <w:iCs/>
          <w:sz w:val="20"/>
        </w:rPr>
      </w:pPr>
      <w:r w:rsidRPr="000124A3">
        <w:rPr>
          <w:rFonts w:ascii="Times New Roman" w:hAnsi="Times New Roman"/>
          <w:b/>
          <w:bCs/>
          <w:sz w:val="20"/>
        </w:rPr>
        <w:t xml:space="preserve">Tekst przewodni: </w:t>
      </w:r>
      <w:r w:rsidRPr="000124A3">
        <w:rPr>
          <w:rFonts w:ascii="Times New Roman" w:hAnsi="Times New Roman"/>
          <w:b/>
          <w:iCs/>
          <w:sz w:val="20"/>
        </w:rPr>
        <w:t>So 3,17.</w:t>
      </w:r>
    </w:p>
    <w:p w14:paraId="685A2253" w14:textId="77777777" w:rsidR="00DA3F6E" w:rsidRPr="000124A3" w:rsidRDefault="00DA3F6E" w:rsidP="00DA3F6E">
      <w:pPr>
        <w:rPr>
          <w:rFonts w:ascii="Times New Roman" w:hAnsi="Times New Roman"/>
          <w:b/>
          <w:sz w:val="20"/>
        </w:rPr>
      </w:pPr>
    </w:p>
    <w:p w14:paraId="64E3A5DD" w14:textId="77777777" w:rsidR="00DA3F6E" w:rsidRPr="000124A3" w:rsidRDefault="00DA3F6E" w:rsidP="00DA3F6E">
      <w:pPr>
        <w:ind w:firstLine="0"/>
        <w:rPr>
          <w:rFonts w:ascii="Times New Roman" w:hAnsi="Times New Roman"/>
          <w:b/>
          <w:sz w:val="20"/>
        </w:rPr>
      </w:pPr>
      <w:r w:rsidRPr="000124A3">
        <w:rPr>
          <w:rFonts w:ascii="Times New Roman" w:hAnsi="Times New Roman"/>
          <w:b/>
          <w:bCs/>
          <w:sz w:val="20"/>
        </w:rPr>
        <w:t xml:space="preserve">Zakres studium: </w:t>
      </w:r>
      <w:r w:rsidRPr="000124A3">
        <w:rPr>
          <w:rFonts w:ascii="Times New Roman" w:hAnsi="Times New Roman"/>
          <w:b/>
          <w:iCs/>
          <w:sz w:val="20"/>
        </w:rPr>
        <w:t>So 3,17; Łk 15,4-32.</w:t>
      </w:r>
    </w:p>
    <w:p w14:paraId="0C5EF5B7" w14:textId="77777777" w:rsidR="00DA3F6E" w:rsidRPr="000124A3" w:rsidRDefault="00DA3F6E" w:rsidP="00DA3F6E">
      <w:pPr>
        <w:rPr>
          <w:rFonts w:ascii="Times New Roman" w:hAnsi="Times New Roman"/>
          <w:sz w:val="20"/>
        </w:rPr>
      </w:pPr>
    </w:p>
    <w:p w14:paraId="32052C92" w14:textId="77777777" w:rsidR="00DA3F6E" w:rsidRPr="000124A3" w:rsidRDefault="00DA3F6E" w:rsidP="00DA3F6E">
      <w:pPr>
        <w:ind w:firstLine="0"/>
        <w:rPr>
          <w:rFonts w:ascii="Times New Roman" w:hAnsi="Times New Roman"/>
          <w:sz w:val="20"/>
        </w:rPr>
      </w:pPr>
      <w:r w:rsidRPr="000124A3">
        <w:rPr>
          <w:rFonts w:ascii="Times New Roman" w:hAnsi="Times New Roman"/>
          <w:b/>
          <w:bCs/>
          <w:sz w:val="20"/>
        </w:rPr>
        <w:t xml:space="preserve">Wprowadzenie: </w:t>
      </w:r>
      <w:r w:rsidRPr="000124A3">
        <w:rPr>
          <w:rFonts w:ascii="Times New Roman" w:hAnsi="Times New Roman"/>
          <w:sz w:val="20"/>
        </w:rPr>
        <w:t>Nasz miłujący Bóg raduje się z więzi miłości z Jego stworzeniami i czerpie z niej zadowolenie.</w:t>
      </w:r>
    </w:p>
    <w:p w14:paraId="0B8BB4A2" w14:textId="77777777" w:rsidR="00DA3F6E" w:rsidRPr="000124A3" w:rsidRDefault="00DA3F6E" w:rsidP="00DA3F6E">
      <w:pPr>
        <w:rPr>
          <w:rFonts w:ascii="Times New Roman" w:hAnsi="Times New Roman"/>
          <w:sz w:val="20"/>
        </w:rPr>
      </w:pPr>
    </w:p>
    <w:p w14:paraId="099D6B4B" w14:textId="77777777" w:rsidR="00DA3F6E" w:rsidRPr="000124A3" w:rsidRDefault="00DA3F6E" w:rsidP="00DA3F6E">
      <w:pPr>
        <w:ind w:firstLine="0"/>
        <w:rPr>
          <w:rFonts w:ascii="Times New Roman" w:hAnsi="Times New Roman"/>
          <w:b/>
          <w:bCs/>
          <w:sz w:val="20"/>
        </w:rPr>
      </w:pPr>
      <w:r w:rsidRPr="000124A3">
        <w:rPr>
          <w:rFonts w:ascii="Times New Roman" w:hAnsi="Times New Roman"/>
          <w:b/>
          <w:bCs/>
          <w:sz w:val="20"/>
        </w:rPr>
        <w:t>Tematy lekcji</w:t>
      </w:r>
    </w:p>
    <w:p w14:paraId="7729D7D0" w14:textId="77777777" w:rsidR="00DA3F6E" w:rsidRPr="000124A3" w:rsidRDefault="00DA3F6E" w:rsidP="00DA3F6E">
      <w:pPr>
        <w:rPr>
          <w:rFonts w:ascii="Times New Roman" w:hAnsi="Times New Roman"/>
          <w:sz w:val="20"/>
        </w:rPr>
      </w:pPr>
      <w:r w:rsidRPr="000124A3">
        <w:rPr>
          <w:rFonts w:ascii="Times New Roman" w:hAnsi="Times New Roman"/>
          <w:sz w:val="20"/>
        </w:rPr>
        <w:t>Ta lekcja podkreśla trzy zasadnicze tematy.</w:t>
      </w:r>
    </w:p>
    <w:p w14:paraId="1B492FEA" w14:textId="77777777" w:rsidR="00DA3F6E" w:rsidRPr="000124A3" w:rsidRDefault="00DA3F6E" w:rsidP="00DA3F6E">
      <w:pPr>
        <w:rPr>
          <w:rFonts w:ascii="Times New Roman" w:hAnsi="Times New Roman"/>
          <w:sz w:val="20"/>
        </w:rPr>
      </w:pPr>
      <w:r w:rsidRPr="000124A3">
        <w:rPr>
          <w:rFonts w:ascii="Times New Roman" w:hAnsi="Times New Roman"/>
          <w:b/>
          <w:bCs/>
          <w:sz w:val="20"/>
        </w:rPr>
        <w:t>1. Upodobanie Boga w Jego stworzeniach wskazuje, jak cenni jesteśmy w Jego oczach.</w:t>
      </w:r>
      <w:r w:rsidRPr="000124A3">
        <w:rPr>
          <w:rFonts w:ascii="Times New Roman" w:hAnsi="Times New Roman"/>
          <w:sz w:val="20"/>
        </w:rPr>
        <w:t xml:space="preserve"> Każdy człowiek jest cenny w Jego oczach, a wartość każdej istoty jest nie do oszacowania. Dlatego Bóg znajduje przyjemność w swoich synach i córkach, kiedy okazują skruchę i szukają Go. Przypowieści w Łk 15 ukazują radość i świętowanie ze strony Boga z powodu zbawienia zgubionego człowieka. Przyjemność Boga z ratowania nas wskazuje, jak cenni jesteśmy w Jego oczach.</w:t>
      </w:r>
    </w:p>
    <w:p w14:paraId="61BFE678" w14:textId="77777777" w:rsidR="00DA3F6E" w:rsidRPr="000124A3" w:rsidRDefault="00DA3F6E" w:rsidP="00DA3F6E">
      <w:pPr>
        <w:rPr>
          <w:rFonts w:ascii="Times New Roman" w:hAnsi="Times New Roman"/>
          <w:sz w:val="20"/>
        </w:rPr>
      </w:pPr>
      <w:r w:rsidRPr="000124A3">
        <w:rPr>
          <w:rFonts w:ascii="Times New Roman" w:hAnsi="Times New Roman"/>
          <w:b/>
          <w:bCs/>
          <w:sz w:val="20"/>
        </w:rPr>
        <w:t>2. Upodobanie Boga jest powodem radości i chwały ludzi.</w:t>
      </w:r>
      <w:r w:rsidRPr="000124A3">
        <w:rPr>
          <w:rFonts w:ascii="Times New Roman" w:hAnsi="Times New Roman"/>
          <w:sz w:val="20"/>
        </w:rPr>
        <w:t xml:space="preserve"> Bóg pragnie napełnić nasze serce niezmierną radością i raduje się wraz z tymi, którzy wyrażają radość i chwałę. Bóg zaprasza swój lud do doświadczania upodobania w Nim przez chwalenie Go z radością w modlitwie i pieśni. Ponadto chwalenie Boga pomaga nam uzmysłowić sobie Jego przyszłe upodobanie i radość z Jego ludu oraz uczestniczyć w nich.</w:t>
      </w:r>
    </w:p>
    <w:p w14:paraId="19F967DB" w14:textId="77777777" w:rsidR="00DA3F6E" w:rsidRPr="000124A3" w:rsidRDefault="00DA3F6E" w:rsidP="00DA3F6E">
      <w:pPr>
        <w:rPr>
          <w:rFonts w:ascii="Times New Roman" w:hAnsi="Times New Roman"/>
          <w:sz w:val="20"/>
        </w:rPr>
      </w:pPr>
      <w:r w:rsidRPr="000124A3">
        <w:rPr>
          <w:rFonts w:ascii="Times New Roman" w:hAnsi="Times New Roman"/>
          <w:b/>
          <w:bCs/>
          <w:sz w:val="20"/>
        </w:rPr>
        <w:t>3. Z powodu naszej niegodności potrzebujemy Chrystusa, by podobać się Bogu.</w:t>
      </w:r>
      <w:r w:rsidRPr="000124A3">
        <w:rPr>
          <w:rFonts w:ascii="Times New Roman" w:hAnsi="Times New Roman"/>
          <w:sz w:val="20"/>
        </w:rPr>
        <w:t xml:space="preserve"> Jesteśmy zaproszeni do podobania się Bogu, składania Mu duchowych ofiar przez chwałę naszych ust w dziękczynieniu oraz praktykowaniu czynienia dobra i dzieleniu się z potrzebującymi. Jednak możemy czynić to wszystko jedynie dzięki wstawiennictwu Chrystusa. Nasza wiara podoba się Bogu wyłącznie na mocy dzieła Chrystusa dokonanego dla nas.</w:t>
      </w:r>
    </w:p>
    <w:p w14:paraId="1012035E" w14:textId="77777777" w:rsidR="00DA3F6E" w:rsidRPr="000124A3" w:rsidRDefault="00DA3F6E" w:rsidP="00DA3F6E">
      <w:pPr>
        <w:rPr>
          <w:rFonts w:ascii="Times New Roman" w:hAnsi="Times New Roman"/>
          <w:sz w:val="20"/>
        </w:rPr>
      </w:pPr>
    </w:p>
    <w:p w14:paraId="1E17F994" w14:textId="77777777" w:rsidR="00DA3F6E" w:rsidRPr="000124A3" w:rsidRDefault="00DA3F6E" w:rsidP="00DA3F6E">
      <w:pPr>
        <w:rPr>
          <w:rFonts w:ascii="Times New Roman" w:hAnsi="Times New Roman"/>
          <w:sz w:val="20"/>
        </w:rPr>
      </w:pPr>
      <w:r w:rsidRPr="000124A3">
        <w:rPr>
          <w:rFonts w:ascii="Times New Roman" w:hAnsi="Times New Roman"/>
          <w:b/>
          <w:bCs/>
          <w:sz w:val="20"/>
        </w:rPr>
        <w:t xml:space="preserve">Zastosowanie: </w:t>
      </w:r>
      <w:r w:rsidRPr="000124A3">
        <w:rPr>
          <w:rFonts w:ascii="Times New Roman" w:hAnsi="Times New Roman"/>
          <w:sz w:val="20"/>
        </w:rPr>
        <w:t>Upodobanie Boga w Jego stworzeniach wskazuje, jak cenni jesteśmy w Jego oczach i jak wysoko szacuje Bóg wartość swojego stworzenia. Jak możemy szanować wartość każdego człowieka?</w:t>
      </w:r>
    </w:p>
    <w:p w14:paraId="18CE60BC" w14:textId="77777777" w:rsidR="00DA3F6E" w:rsidRPr="000124A3" w:rsidRDefault="00DA3F6E" w:rsidP="00DA3F6E">
      <w:pPr>
        <w:rPr>
          <w:rFonts w:ascii="Times New Roman" w:hAnsi="Times New Roman"/>
          <w:sz w:val="20"/>
        </w:rPr>
      </w:pPr>
    </w:p>
    <w:p w14:paraId="4061C817" w14:textId="77777777" w:rsidR="00DA3F6E" w:rsidRPr="000124A3" w:rsidRDefault="00DA3F6E" w:rsidP="00DA3F6E">
      <w:pPr>
        <w:ind w:firstLine="0"/>
        <w:rPr>
          <w:rFonts w:ascii="Times New Roman" w:hAnsi="Times New Roman"/>
          <w:sz w:val="20"/>
        </w:rPr>
      </w:pPr>
      <w:r w:rsidRPr="000124A3">
        <w:rPr>
          <w:rFonts w:ascii="Times New Roman" w:hAnsi="Times New Roman"/>
          <w:b/>
          <w:sz w:val="20"/>
        </w:rPr>
        <w:t>Część II: Komentarz</w:t>
      </w:r>
    </w:p>
    <w:p w14:paraId="0245F240" w14:textId="77777777" w:rsidR="00DA3F6E" w:rsidRPr="000124A3" w:rsidRDefault="00DA3F6E" w:rsidP="00DA3F6E">
      <w:pPr>
        <w:rPr>
          <w:rFonts w:ascii="Times New Roman" w:hAnsi="Times New Roman"/>
          <w:sz w:val="20"/>
        </w:rPr>
      </w:pPr>
    </w:p>
    <w:p w14:paraId="506B3733" w14:textId="77777777" w:rsidR="00DA3F6E" w:rsidRPr="000124A3" w:rsidRDefault="00DA3F6E" w:rsidP="00DA3F6E">
      <w:pPr>
        <w:rPr>
          <w:rFonts w:ascii="Times New Roman" w:hAnsi="Times New Roman"/>
          <w:b/>
          <w:bCs/>
          <w:sz w:val="20"/>
        </w:rPr>
      </w:pPr>
      <w:r w:rsidRPr="000124A3">
        <w:rPr>
          <w:rFonts w:ascii="Times New Roman" w:hAnsi="Times New Roman"/>
          <w:b/>
          <w:bCs/>
          <w:sz w:val="20"/>
        </w:rPr>
        <w:t>1. Upodobanie Boga w Jego stworzeniach wskazuje, jak cenni jesteśmy w Jego oczach.</w:t>
      </w:r>
    </w:p>
    <w:p w14:paraId="3C3170FA" w14:textId="77777777" w:rsidR="00DA3F6E" w:rsidRPr="000124A3" w:rsidRDefault="00DA3F6E" w:rsidP="00DA3F6E">
      <w:pPr>
        <w:rPr>
          <w:rFonts w:ascii="Times New Roman" w:hAnsi="Times New Roman"/>
          <w:sz w:val="20"/>
        </w:rPr>
      </w:pPr>
      <w:r w:rsidRPr="000124A3">
        <w:rPr>
          <w:rFonts w:ascii="Times New Roman" w:hAnsi="Times New Roman"/>
          <w:sz w:val="20"/>
        </w:rPr>
        <w:t xml:space="preserve">Przypowieść o synu marnotrawnym szczególnie trafnie ilustruje, jak cenni jesteśmy w ocenie Boga. Trzy przypowieści z Łk 15 opowiedziane przez Jezusa ponurym faryzeuszom i uczonym w Piśmie </w:t>
      </w:r>
      <w:r w:rsidRPr="000124A3">
        <w:rPr>
          <w:rFonts w:ascii="Times New Roman" w:hAnsi="Times New Roman"/>
          <w:iCs/>
          <w:sz w:val="20"/>
        </w:rPr>
        <w:t xml:space="preserve">(Łk 15,2) </w:t>
      </w:r>
      <w:r w:rsidRPr="000124A3">
        <w:rPr>
          <w:rFonts w:ascii="Times New Roman" w:hAnsi="Times New Roman"/>
          <w:sz w:val="20"/>
        </w:rPr>
        <w:t xml:space="preserve">podkreślają niesamowitą wartość (zgubionych) ludzi w oczach Boga. Ciekawe, że faryzeusze i uczeni w Piśmie nie widzieli żadnej wartości w ludziach („grzesznikach”), których Jezus przyjmował z otwartymi ramionami </w:t>
      </w:r>
      <w:r w:rsidRPr="000124A3">
        <w:rPr>
          <w:rFonts w:ascii="Times New Roman" w:hAnsi="Times New Roman"/>
          <w:iCs/>
          <w:sz w:val="20"/>
        </w:rPr>
        <w:t>(Łk 15,2)</w:t>
      </w:r>
      <w:r w:rsidRPr="000124A3">
        <w:rPr>
          <w:rFonts w:ascii="Times New Roman" w:hAnsi="Times New Roman"/>
          <w:sz w:val="20"/>
        </w:rPr>
        <w:t>. Ellen White zauważa, że „okazywali im tylko pogardę i potępienie, a Chrystus przyjmował ich jak dzieci Boże — owszem, pozostające daleko od domu Ojca, ale niezapomniane przez ojcowskie serce” (Ellen G. White,</w:t>
      </w:r>
      <w:r w:rsidRPr="000124A3">
        <w:rPr>
          <w:rFonts w:ascii="Times New Roman" w:hAnsi="Times New Roman"/>
          <w:i/>
          <w:iCs/>
          <w:sz w:val="20"/>
        </w:rPr>
        <w:t xml:space="preserve"> Przypowieści Chrystusa</w:t>
      </w:r>
      <w:r w:rsidRPr="000124A3">
        <w:rPr>
          <w:rFonts w:ascii="Times New Roman" w:hAnsi="Times New Roman"/>
          <w:iCs/>
          <w:sz w:val="20"/>
        </w:rPr>
        <w:t>, wyd. 6, Warszawa 2020</w:t>
      </w:r>
      <w:r w:rsidRPr="000124A3">
        <w:rPr>
          <w:rFonts w:ascii="Times New Roman" w:hAnsi="Times New Roman"/>
          <w:sz w:val="20"/>
        </w:rPr>
        <w:t>, s. 127).</w:t>
      </w:r>
    </w:p>
    <w:p w14:paraId="4FC8024F" w14:textId="0AA4511C" w:rsidR="00DA3F6E" w:rsidRPr="000124A3" w:rsidRDefault="00DA3F6E" w:rsidP="00DA3F6E">
      <w:pPr>
        <w:rPr>
          <w:rFonts w:ascii="Times New Roman" w:hAnsi="Times New Roman"/>
          <w:sz w:val="20"/>
        </w:rPr>
      </w:pPr>
      <w:r w:rsidRPr="000124A3">
        <w:rPr>
          <w:rFonts w:ascii="Times New Roman" w:hAnsi="Times New Roman"/>
          <w:sz w:val="20"/>
        </w:rPr>
        <w:t>Przy pomocy tych trzech przypowieści Jezus zganił lekceważącą mentalność faryzeuszy oraz podkreślił, iż Bóg znajduje upodobanie w odnajdywaniu i przyjmowaniu zgubionych. Innymi słowy, wyrazy radości i</w:t>
      </w:r>
      <w:r w:rsidR="00CE6D64">
        <w:rPr>
          <w:rFonts w:ascii="Times New Roman" w:hAnsi="Times New Roman"/>
          <w:sz w:val="20"/>
        </w:rPr>
        <w:t> </w:t>
      </w:r>
      <w:r w:rsidRPr="000124A3">
        <w:rPr>
          <w:rFonts w:ascii="Times New Roman" w:hAnsi="Times New Roman"/>
          <w:sz w:val="20"/>
        </w:rPr>
        <w:t>upodobania w każdej z przypowieści mają świadczyć, jak cenni są zgubieni ludzie. W przypowieści o zabłąkanej owcy pasterz gorliwie poszukuje zagubionej owcy, „</w:t>
      </w:r>
      <w:r w:rsidRPr="000124A3">
        <w:rPr>
          <w:rFonts w:ascii="Times New Roman" w:hAnsi="Times New Roman"/>
          <w:color w:val="000000"/>
          <w:sz w:val="20"/>
        </w:rPr>
        <w:t>aż ją odnajdzie</w:t>
      </w:r>
      <w:r w:rsidRPr="000124A3">
        <w:rPr>
          <w:rFonts w:ascii="Times New Roman" w:hAnsi="Times New Roman"/>
          <w:sz w:val="20"/>
        </w:rPr>
        <w:t xml:space="preserve">” </w:t>
      </w:r>
      <w:r w:rsidRPr="000124A3">
        <w:rPr>
          <w:rFonts w:ascii="Times New Roman" w:hAnsi="Times New Roman"/>
          <w:iCs/>
          <w:sz w:val="20"/>
        </w:rPr>
        <w:t>(Łk 15,4)</w:t>
      </w:r>
      <w:r w:rsidRPr="000124A3">
        <w:rPr>
          <w:rFonts w:ascii="Times New Roman" w:hAnsi="Times New Roman"/>
          <w:sz w:val="20"/>
        </w:rPr>
        <w:t>. Potem „</w:t>
      </w:r>
      <w:r w:rsidRPr="000124A3">
        <w:rPr>
          <w:rFonts w:ascii="Times New Roman" w:hAnsi="Times New Roman"/>
          <w:color w:val="000000"/>
          <w:sz w:val="20"/>
        </w:rPr>
        <w:t>kładzie ją na ramiona swoje i raduje się</w:t>
      </w:r>
      <w:r w:rsidRPr="000124A3">
        <w:rPr>
          <w:rFonts w:ascii="Times New Roman" w:hAnsi="Times New Roman"/>
          <w:sz w:val="20"/>
        </w:rPr>
        <w:t xml:space="preserve">” niosąc ją do stada </w:t>
      </w:r>
      <w:r w:rsidRPr="000124A3">
        <w:rPr>
          <w:rFonts w:ascii="Times New Roman" w:hAnsi="Times New Roman"/>
          <w:iCs/>
          <w:sz w:val="20"/>
        </w:rPr>
        <w:t>(Łk 15,5)</w:t>
      </w:r>
      <w:r w:rsidRPr="000124A3">
        <w:rPr>
          <w:rFonts w:ascii="Times New Roman" w:hAnsi="Times New Roman"/>
          <w:sz w:val="20"/>
        </w:rPr>
        <w:t xml:space="preserve">. Im bardziej zdajemy sobie sprawę, jaką radość odczuwa pasterz, tym pełniej rozumiemy, jak cenna w jego oczach jest zabłąkana owca. Radość i upodobanie pasterza są niezmierzone, jako że zaprasza on sąsiadów i przyjaciół, by radowali się wraz z nim </w:t>
      </w:r>
      <w:r w:rsidRPr="000124A3">
        <w:rPr>
          <w:rFonts w:ascii="Times New Roman" w:hAnsi="Times New Roman"/>
          <w:iCs/>
          <w:sz w:val="20"/>
        </w:rPr>
        <w:t>(Łk 15,6)</w:t>
      </w:r>
      <w:r w:rsidRPr="000124A3">
        <w:rPr>
          <w:rFonts w:ascii="Times New Roman" w:hAnsi="Times New Roman"/>
          <w:sz w:val="20"/>
        </w:rPr>
        <w:t>.</w:t>
      </w:r>
    </w:p>
    <w:p w14:paraId="470D6239" w14:textId="77777777" w:rsidR="00DA3F6E" w:rsidRPr="000124A3" w:rsidRDefault="00DA3F6E" w:rsidP="00DA3F6E">
      <w:pPr>
        <w:rPr>
          <w:rFonts w:ascii="Times New Roman" w:hAnsi="Times New Roman"/>
          <w:sz w:val="20"/>
        </w:rPr>
      </w:pPr>
      <w:r w:rsidRPr="000124A3">
        <w:rPr>
          <w:rFonts w:ascii="Times New Roman" w:hAnsi="Times New Roman"/>
          <w:sz w:val="20"/>
        </w:rPr>
        <w:t xml:space="preserve">Podobny wzorzec powtarza się w pozostałych dwóch przypowieściach. W przypowieści o zgubionej drachmie kobieta starannie szuka zawieruszonej monety, „aż znajdzie” </w:t>
      </w:r>
      <w:r w:rsidRPr="000124A3">
        <w:rPr>
          <w:rFonts w:ascii="Times New Roman" w:hAnsi="Times New Roman"/>
          <w:iCs/>
          <w:sz w:val="20"/>
        </w:rPr>
        <w:t>(Łk 15,8)</w:t>
      </w:r>
      <w:r w:rsidRPr="000124A3">
        <w:rPr>
          <w:rFonts w:ascii="Times New Roman" w:hAnsi="Times New Roman"/>
          <w:sz w:val="20"/>
        </w:rPr>
        <w:t xml:space="preserve">. Wówczas z największą przyjemnością zaprasza sąsiadki i przyjaciółki, by radowały się wraz z nią </w:t>
      </w:r>
      <w:r w:rsidRPr="000124A3">
        <w:rPr>
          <w:rFonts w:ascii="Times New Roman" w:hAnsi="Times New Roman"/>
          <w:iCs/>
          <w:sz w:val="20"/>
        </w:rPr>
        <w:t>(Łk 15,9)</w:t>
      </w:r>
      <w:r w:rsidRPr="000124A3">
        <w:rPr>
          <w:rFonts w:ascii="Times New Roman" w:hAnsi="Times New Roman"/>
          <w:sz w:val="20"/>
        </w:rPr>
        <w:t>. W przypowieści o synu marnotrawnym, która jest kulminacją tryptyku, syn marnotrawny nie tylko się zagubił, ale uparcie wybrał drogę po równi pochyłej wiodącą do stanu, jakiego nie spodziewał się, kiedy podejmował głupie decyzje. Kiedy wreszcie przyszedł po rozum do głowy, uznał, że jego godność i wartość w oczach ojca na zawsze przepadły wskutek grzechu, jakiego się dopuścił: „N</w:t>
      </w:r>
      <w:r w:rsidRPr="000124A3">
        <w:rPr>
          <w:rFonts w:ascii="Times New Roman" w:hAnsi="Times New Roman"/>
          <w:color w:val="000000"/>
          <w:sz w:val="20"/>
        </w:rPr>
        <w:t>ie jestem godzien nazywać się synem twoim</w:t>
      </w:r>
      <w:r w:rsidRPr="000124A3">
        <w:rPr>
          <w:rFonts w:ascii="Times New Roman" w:hAnsi="Times New Roman"/>
          <w:sz w:val="20"/>
        </w:rPr>
        <w:t xml:space="preserve">” </w:t>
      </w:r>
      <w:r w:rsidRPr="000124A3">
        <w:rPr>
          <w:rFonts w:ascii="Times New Roman" w:hAnsi="Times New Roman"/>
          <w:iCs/>
          <w:sz w:val="20"/>
        </w:rPr>
        <w:t>(Łk 15,19)</w:t>
      </w:r>
      <w:r w:rsidRPr="000124A3">
        <w:rPr>
          <w:rFonts w:ascii="Times New Roman" w:hAnsi="Times New Roman"/>
          <w:sz w:val="20"/>
        </w:rPr>
        <w:t>.</w:t>
      </w:r>
    </w:p>
    <w:p w14:paraId="677DF028" w14:textId="77777777" w:rsidR="00DA3F6E" w:rsidRPr="000124A3" w:rsidRDefault="00DA3F6E" w:rsidP="00DA3F6E">
      <w:pPr>
        <w:rPr>
          <w:rFonts w:ascii="Times New Roman" w:hAnsi="Times New Roman"/>
          <w:sz w:val="20"/>
        </w:rPr>
      </w:pPr>
      <w:r w:rsidRPr="000124A3">
        <w:rPr>
          <w:rFonts w:ascii="Times New Roman" w:hAnsi="Times New Roman"/>
          <w:sz w:val="20"/>
        </w:rPr>
        <w:t>Jednak postępowanie ojca znacznie przekraczało rozsądne oczekiwania syna. Ujrzawszy powracającego syna, ojciec „</w:t>
      </w:r>
      <w:r w:rsidRPr="000124A3">
        <w:rPr>
          <w:rFonts w:ascii="Times New Roman" w:hAnsi="Times New Roman"/>
          <w:color w:val="000000"/>
          <w:sz w:val="20"/>
        </w:rPr>
        <w:t>pobiegłszy rzucił mu się na szyję i pocałował go</w:t>
      </w:r>
      <w:r w:rsidRPr="000124A3">
        <w:rPr>
          <w:rFonts w:ascii="Times New Roman" w:hAnsi="Times New Roman"/>
          <w:sz w:val="20"/>
        </w:rPr>
        <w:t xml:space="preserve">” </w:t>
      </w:r>
      <w:r w:rsidRPr="000124A3">
        <w:rPr>
          <w:rFonts w:ascii="Times New Roman" w:hAnsi="Times New Roman"/>
          <w:iCs/>
          <w:sz w:val="20"/>
        </w:rPr>
        <w:t>(Łk 15,20)</w:t>
      </w:r>
      <w:r w:rsidRPr="000124A3">
        <w:rPr>
          <w:rFonts w:ascii="Times New Roman" w:hAnsi="Times New Roman"/>
          <w:sz w:val="20"/>
        </w:rPr>
        <w:t xml:space="preserve">. Ojciec nie poprzestał na tym. Zdumieni domownicy dowiedzieli się, że ojciec zamierza dać pełny wyraz swojej dobrej woli i zadowoleniu. Nie bacząc na prośbę syna, by przyjął go jako sługę, ojciec postanowił przywrócić synowi godność. Polecił sługom, by przynieśli </w:t>
      </w:r>
      <w:r w:rsidRPr="000124A3">
        <w:rPr>
          <w:rFonts w:ascii="Times New Roman" w:hAnsi="Times New Roman"/>
          <w:sz w:val="20"/>
        </w:rPr>
        <w:lastRenderedPageBreak/>
        <w:t xml:space="preserve">mu najlepszą szatę, pierścień i sandały </w:t>
      </w:r>
      <w:r w:rsidRPr="000124A3">
        <w:rPr>
          <w:rFonts w:ascii="Times New Roman" w:hAnsi="Times New Roman"/>
          <w:iCs/>
          <w:sz w:val="20"/>
        </w:rPr>
        <w:t>(Łk 15,22)</w:t>
      </w:r>
      <w:r w:rsidRPr="000124A3">
        <w:rPr>
          <w:rFonts w:ascii="Times New Roman" w:hAnsi="Times New Roman"/>
          <w:sz w:val="20"/>
        </w:rPr>
        <w:t>. Ale i to nie był jeszcze koniec świętowania. Ojciec postanowił, że cała okolica ma się dowiedzieć, że odzyskał syna. Rozkazał więc sługom: „P</w:t>
      </w:r>
      <w:r w:rsidRPr="000124A3">
        <w:rPr>
          <w:rFonts w:ascii="Times New Roman" w:hAnsi="Times New Roman"/>
          <w:color w:val="000000"/>
          <w:sz w:val="20"/>
        </w:rPr>
        <w:t>rzyprowadźcie tuczne cielę, zabijcie je, a jedzmy i weselmy się</w:t>
      </w:r>
      <w:r w:rsidRPr="000124A3">
        <w:rPr>
          <w:rFonts w:ascii="Times New Roman" w:hAnsi="Times New Roman"/>
          <w:sz w:val="20"/>
        </w:rPr>
        <w:t xml:space="preserve">” </w:t>
      </w:r>
      <w:r w:rsidRPr="000124A3">
        <w:rPr>
          <w:rFonts w:ascii="Times New Roman" w:hAnsi="Times New Roman"/>
          <w:iCs/>
          <w:sz w:val="20"/>
        </w:rPr>
        <w:t>(Łk 15,23)</w:t>
      </w:r>
      <w:r w:rsidRPr="000124A3">
        <w:rPr>
          <w:rFonts w:ascii="Times New Roman" w:hAnsi="Times New Roman"/>
          <w:sz w:val="20"/>
        </w:rPr>
        <w:t>. Tak więc ojciec nie tylko przyjął syna, ale także nie krył zadowolenia z jego powrotu.</w:t>
      </w:r>
    </w:p>
    <w:p w14:paraId="65732B5C" w14:textId="6350B6D7" w:rsidR="00DA3F6E" w:rsidRPr="000124A3" w:rsidRDefault="00DA3F6E" w:rsidP="00DA3F6E">
      <w:pPr>
        <w:rPr>
          <w:rFonts w:ascii="Times New Roman" w:hAnsi="Times New Roman"/>
          <w:sz w:val="20"/>
        </w:rPr>
      </w:pPr>
      <w:r w:rsidRPr="000124A3">
        <w:rPr>
          <w:rFonts w:ascii="Times New Roman" w:hAnsi="Times New Roman"/>
          <w:sz w:val="20"/>
        </w:rPr>
        <w:t>Dotąd widzimy w przypowieści do synu marnotrawnym ten sam ogólny wzorzec, jaki występuje w</w:t>
      </w:r>
      <w:r w:rsidR="00CE6D64">
        <w:rPr>
          <w:rFonts w:ascii="Times New Roman" w:hAnsi="Times New Roman"/>
          <w:sz w:val="20"/>
        </w:rPr>
        <w:t> </w:t>
      </w:r>
      <w:r w:rsidRPr="000124A3">
        <w:rPr>
          <w:rFonts w:ascii="Times New Roman" w:hAnsi="Times New Roman"/>
          <w:sz w:val="20"/>
        </w:rPr>
        <w:t xml:space="preserve">przypowieściach o zabłąkanej owcy i zgubionej drachmie, mianowicie zguba się znajduje, po czym następuje świętowanie tego radosnego wydarzenia. Jednak przypowieść o synu marnotrawnym idzie krok dalej, kiedy świętowanie zostaje stanowczo zakwestionowane przez starszego syna </w:t>
      </w:r>
      <w:r w:rsidRPr="000124A3">
        <w:rPr>
          <w:rFonts w:ascii="Times New Roman" w:hAnsi="Times New Roman"/>
          <w:iCs/>
          <w:sz w:val="20"/>
        </w:rPr>
        <w:t>(Łk 15,28-30)</w:t>
      </w:r>
      <w:r w:rsidRPr="000124A3">
        <w:rPr>
          <w:rFonts w:ascii="Times New Roman" w:hAnsi="Times New Roman"/>
          <w:sz w:val="20"/>
        </w:rPr>
        <w:t xml:space="preserve">. Ten punkt jest bardzo ważny, gdyż ilustruje postawę faryzeuszy zaznaczoną na początku rozdziału </w:t>
      </w:r>
      <w:r w:rsidRPr="000124A3">
        <w:rPr>
          <w:rFonts w:ascii="Times New Roman" w:hAnsi="Times New Roman"/>
          <w:iCs/>
          <w:sz w:val="20"/>
        </w:rPr>
        <w:t>(zob. Łk 15,2)</w:t>
      </w:r>
      <w:r w:rsidRPr="000124A3">
        <w:rPr>
          <w:rFonts w:ascii="Times New Roman" w:hAnsi="Times New Roman"/>
          <w:sz w:val="20"/>
        </w:rPr>
        <w:t>. Zarówno starszy syn z przypowieści jak i faryzeusze surowo krytykowali dopuszczenie grzeszników do stołu i ucztowanie z nimi. Ta krytykancka postawa świadczy o tym, jak bardzo nie doceniali wartości ludzi, którym okazano akceptację. Przypowieść uczy, że Bóg wysoce ceni swoje dzieci i świętuje, kiedy te okazują skruchę i wracają do Niego. Dlatego przypowieść kończy się reakcją ojca na krytykę ze strony starszego syna: „</w:t>
      </w:r>
      <w:r w:rsidRPr="000124A3">
        <w:rPr>
          <w:rFonts w:ascii="Times New Roman" w:hAnsi="Times New Roman"/>
          <w:color w:val="000000"/>
          <w:sz w:val="20"/>
        </w:rPr>
        <w:t>Należało zaś weselić się i</w:t>
      </w:r>
      <w:r w:rsidR="00CE6D64">
        <w:rPr>
          <w:rFonts w:ascii="Times New Roman" w:hAnsi="Times New Roman"/>
          <w:color w:val="000000"/>
          <w:sz w:val="20"/>
        </w:rPr>
        <w:t> </w:t>
      </w:r>
      <w:r w:rsidRPr="000124A3">
        <w:rPr>
          <w:rFonts w:ascii="Times New Roman" w:hAnsi="Times New Roman"/>
          <w:color w:val="000000"/>
          <w:sz w:val="20"/>
        </w:rPr>
        <w:t>radować</w:t>
      </w:r>
      <w:r w:rsidRPr="000124A3">
        <w:rPr>
          <w:rFonts w:ascii="Times New Roman" w:hAnsi="Times New Roman"/>
          <w:sz w:val="20"/>
        </w:rPr>
        <w:t xml:space="preserve">” </w:t>
      </w:r>
      <w:r w:rsidRPr="000124A3">
        <w:rPr>
          <w:rFonts w:ascii="Times New Roman" w:hAnsi="Times New Roman"/>
          <w:iCs/>
          <w:sz w:val="20"/>
        </w:rPr>
        <w:t>(Łk 15,32)</w:t>
      </w:r>
      <w:r w:rsidRPr="000124A3">
        <w:rPr>
          <w:rFonts w:ascii="Times New Roman" w:hAnsi="Times New Roman"/>
          <w:sz w:val="20"/>
        </w:rPr>
        <w:t>.</w:t>
      </w:r>
    </w:p>
    <w:p w14:paraId="0E5359CB" w14:textId="47E64D42" w:rsidR="00DA3F6E" w:rsidRPr="000124A3" w:rsidRDefault="00DA3F6E" w:rsidP="00DA3F6E">
      <w:pPr>
        <w:rPr>
          <w:rFonts w:ascii="Times New Roman" w:hAnsi="Times New Roman"/>
          <w:sz w:val="20"/>
        </w:rPr>
      </w:pPr>
      <w:r w:rsidRPr="000124A3">
        <w:rPr>
          <w:rFonts w:ascii="Times New Roman" w:hAnsi="Times New Roman"/>
          <w:sz w:val="20"/>
        </w:rPr>
        <w:t xml:space="preserve">Greckie słowo przetłumaczone jako „należało” to czasownik </w:t>
      </w:r>
      <w:r w:rsidRPr="000124A3">
        <w:rPr>
          <w:rFonts w:ascii="Times New Roman" w:hAnsi="Times New Roman"/>
          <w:i/>
          <w:iCs/>
          <w:sz w:val="20"/>
        </w:rPr>
        <w:t>dei</w:t>
      </w:r>
      <w:r w:rsidRPr="000124A3">
        <w:rPr>
          <w:rFonts w:ascii="Times New Roman" w:hAnsi="Times New Roman"/>
          <w:sz w:val="20"/>
        </w:rPr>
        <w:t xml:space="preserve">, który dosłownie znaczy „było konieczne”, „musiało” i podkreśla, że coś „powinno było się wydarzyć, gdyż tak było stosownie” (Frederick W. Danker i in., </w:t>
      </w:r>
      <w:r w:rsidRPr="000124A3">
        <w:rPr>
          <w:rFonts w:ascii="Times New Roman" w:hAnsi="Times New Roman"/>
          <w:i/>
          <w:iCs/>
          <w:sz w:val="20"/>
        </w:rPr>
        <w:t>A Greek-English Lexicon of the New Testament and Other Early Christian Literature</w:t>
      </w:r>
      <w:r w:rsidRPr="000124A3">
        <w:rPr>
          <w:rFonts w:ascii="Times New Roman" w:hAnsi="Times New Roman"/>
          <w:sz w:val="20"/>
        </w:rPr>
        <w:t xml:space="preserve">, Chicago 2000, s. 214). </w:t>
      </w:r>
      <w:r w:rsidRPr="000124A3">
        <w:rPr>
          <w:rFonts w:ascii="Times New Roman" w:hAnsi="Times New Roman"/>
          <w:i/>
          <w:iCs/>
          <w:sz w:val="20"/>
        </w:rPr>
        <w:t>Biblia gdańska</w:t>
      </w:r>
      <w:r w:rsidRPr="000124A3">
        <w:rPr>
          <w:rFonts w:ascii="Times New Roman" w:hAnsi="Times New Roman"/>
          <w:sz w:val="20"/>
        </w:rPr>
        <w:t xml:space="preserve"> tłumaczy to słowo jako „trzeba było”. Ten język wyrażający konieczność wskazuje na wielką wartość tego, co było zgubione i zostało znalezione. Z tej perspektywy ojciec podkreśla, iż „należało” się weselić. Nie ma innej stosownej możliwości wobec wartości tego, który się odnalazł. Podobnie jak w dwóch poprzednich przypowieściach ojciec pragnie podzielić się swoją radością. Słudzy angażują się w świętowanie </w:t>
      </w:r>
      <w:r w:rsidRPr="000124A3">
        <w:rPr>
          <w:rFonts w:ascii="Times New Roman" w:hAnsi="Times New Roman"/>
          <w:iCs/>
          <w:sz w:val="20"/>
        </w:rPr>
        <w:t>(Łk 15,22-27)</w:t>
      </w:r>
      <w:r w:rsidRPr="000124A3">
        <w:rPr>
          <w:rFonts w:ascii="Times New Roman" w:hAnsi="Times New Roman"/>
          <w:sz w:val="20"/>
        </w:rPr>
        <w:t>, a</w:t>
      </w:r>
      <w:r w:rsidR="00CE6D64">
        <w:rPr>
          <w:rFonts w:ascii="Times New Roman" w:hAnsi="Times New Roman"/>
          <w:sz w:val="20"/>
        </w:rPr>
        <w:t> </w:t>
      </w:r>
      <w:r w:rsidRPr="000124A3">
        <w:rPr>
          <w:rFonts w:ascii="Times New Roman" w:hAnsi="Times New Roman"/>
          <w:sz w:val="20"/>
        </w:rPr>
        <w:t xml:space="preserve">ojciec wzywa starszego syna, by i on się przyłączył. Syn marnotrawny jest nie tylko „synem twoim”, jak nazywa go starszy brat </w:t>
      </w:r>
      <w:r w:rsidRPr="000124A3">
        <w:rPr>
          <w:rFonts w:ascii="Times New Roman" w:hAnsi="Times New Roman"/>
          <w:iCs/>
          <w:sz w:val="20"/>
        </w:rPr>
        <w:t>(Łk 15,30)</w:t>
      </w:r>
      <w:r w:rsidRPr="000124A3">
        <w:rPr>
          <w:rFonts w:ascii="Times New Roman" w:hAnsi="Times New Roman"/>
          <w:sz w:val="20"/>
        </w:rPr>
        <w:t xml:space="preserve">, ale także „bratem twoim” </w:t>
      </w:r>
      <w:r w:rsidRPr="000124A3">
        <w:rPr>
          <w:rFonts w:ascii="Times New Roman" w:hAnsi="Times New Roman"/>
          <w:iCs/>
          <w:sz w:val="20"/>
        </w:rPr>
        <w:t>(Łk 15,32)</w:t>
      </w:r>
      <w:r w:rsidRPr="000124A3">
        <w:rPr>
          <w:rFonts w:ascii="Times New Roman" w:hAnsi="Times New Roman"/>
          <w:sz w:val="20"/>
        </w:rPr>
        <w:t>, jak nazywa go ojciec.</w:t>
      </w:r>
    </w:p>
    <w:p w14:paraId="2EA86D68" w14:textId="77777777" w:rsidR="00DA3F6E" w:rsidRPr="000124A3" w:rsidRDefault="00DA3F6E" w:rsidP="00DA3F6E">
      <w:pPr>
        <w:rPr>
          <w:rFonts w:ascii="Times New Roman" w:hAnsi="Times New Roman"/>
          <w:sz w:val="20"/>
        </w:rPr>
      </w:pPr>
      <w:r w:rsidRPr="000124A3">
        <w:rPr>
          <w:rFonts w:ascii="Times New Roman" w:hAnsi="Times New Roman"/>
          <w:sz w:val="20"/>
        </w:rPr>
        <w:t>Tak więc przypowieści Jezusa zapisane w Łk 15 uczą, że zadowolenie Boga ze zbawienia Jego dzieci wskazuje, jak cenni jesteśmy w Jego oczach. On pragnie nie tylko byśmy czuli się cenni dzięki Jego upodobaniu w nas, ale także byśmy cieszyli się wraz z Nim ze zbawienia naszych braci i sióstr (i cenili ich z całego serca).</w:t>
      </w:r>
    </w:p>
    <w:p w14:paraId="0E79EC27" w14:textId="77777777" w:rsidR="00DA3F6E" w:rsidRPr="000124A3" w:rsidRDefault="00DA3F6E" w:rsidP="00DA3F6E">
      <w:pPr>
        <w:rPr>
          <w:rFonts w:ascii="Times New Roman" w:hAnsi="Times New Roman"/>
          <w:sz w:val="20"/>
        </w:rPr>
      </w:pPr>
    </w:p>
    <w:p w14:paraId="76653E93" w14:textId="77777777" w:rsidR="00DA3F6E" w:rsidRPr="000124A3" w:rsidRDefault="00DA3F6E" w:rsidP="00DA3F6E">
      <w:pPr>
        <w:rPr>
          <w:rFonts w:ascii="Times New Roman" w:hAnsi="Times New Roman"/>
          <w:sz w:val="20"/>
        </w:rPr>
      </w:pPr>
      <w:r w:rsidRPr="000124A3">
        <w:rPr>
          <w:rFonts w:ascii="Times New Roman" w:hAnsi="Times New Roman"/>
          <w:b/>
          <w:bCs/>
          <w:sz w:val="20"/>
        </w:rPr>
        <w:t>2. Upodobanie Boga jest powodem radości i chwały ludzi.</w:t>
      </w:r>
    </w:p>
    <w:p w14:paraId="251E8643" w14:textId="02C1A26E" w:rsidR="00DA3F6E" w:rsidRPr="000124A3" w:rsidRDefault="00DA3F6E" w:rsidP="00DA3F6E">
      <w:pPr>
        <w:rPr>
          <w:rFonts w:ascii="Times New Roman" w:hAnsi="Times New Roman"/>
          <w:sz w:val="20"/>
        </w:rPr>
      </w:pPr>
      <w:r w:rsidRPr="000124A3">
        <w:rPr>
          <w:rFonts w:ascii="Times New Roman" w:hAnsi="Times New Roman"/>
          <w:sz w:val="20"/>
        </w:rPr>
        <w:t>So 3,17 i Ps 149,4 w podobny sposób podkreślają Boże zadowolenie. Ps 149 jest zaproszeniem do radosnego oddawania chwały Bogu: „</w:t>
      </w:r>
      <w:r w:rsidRPr="000124A3">
        <w:rPr>
          <w:rFonts w:ascii="Times New Roman" w:hAnsi="Times New Roman"/>
          <w:color w:val="000000"/>
          <w:sz w:val="20"/>
        </w:rPr>
        <w:t>Niech weseli się Izrael ze Stwórcy swego, dzieci Syjonu niech się radują z</w:t>
      </w:r>
      <w:r w:rsidR="00CE6D64">
        <w:rPr>
          <w:rFonts w:ascii="Times New Roman" w:hAnsi="Times New Roman"/>
          <w:color w:val="000000"/>
          <w:sz w:val="20"/>
        </w:rPr>
        <w:t> </w:t>
      </w:r>
      <w:r w:rsidRPr="000124A3">
        <w:rPr>
          <w:rFonts w:ascii="Times New Roman" w:hAnsi="Times New Roman"/>
          <w:color w:val="000000"/>
          <w:sz w:val="20"/>
        </w:rPr>
        <w:t>króla swego!</w:t>
      </w:r>
      <w:r w:rsidRPr="000124A3">
        <w:rPr>
          <w:rFonts w:ascii="Times New Roman" w:hAnsi="Times New Roman"/>
          <w:sz w:val="20"/>
        </w:rPr>
        <w:t xml:space="preserve">” </w:t>
      </w:r>
      <w:r w:rsidRPr="000124A3">
        <w:rPr>
          <w:rFonts w:ascii="Times New Roman" w:hAnsi="Times New Roman"/>
          <w:iCs/>
          <w:sz w:val="20"/>
        </w:rPr>
        <w:t>(Ps 149,2)</w:t>
      </w:r>
      <w:r w:rsidRPr="000124A3">
        <w:rPr>
          <w:rFonts w:ascii="Times New Roman" w:hAnsi="Times New Roman"/>
          <w:sz w:val="20"/>
        </w:rPr>
        <w:t>. Uzasadnienie tego wezwania jest podane w Ps 149,4: „</w:t>
      </w:r>
      <w:r w:rsidRPr="000124A3">
        <w:rPr>
          <w:rFonts w:ascii="Times New Roman" w:hAnsi="Times New Roman"/>
          <w:color w:val="000000"/>
          <w:sz w:val="20"/>
        </w:rPr>
        <w:t>Bo Pan upodobał sobie lud swój</w:t>
      </w:r>
      <w:r w:rsidRPr="000124A3">
        <w:rPr>
          <w:rFonts w:ascii="Times New Roman" w:hAnsi="Times New Roman"/>
          <w:sz w:val="20"/>
        </w:rPr>
        <w:t>”. Tak więc psalm ten wskazuje upodobanie i radość we wzajemnej więzi. Bóg ma upodobanie w ludziach i</w:t>
      </w:r>
      <w:r w:rsidR="00CE6D64">
        <w:rPr>
          <w:rFonts w:ascii="Times New Roman" w:hAnsi="Times New Roman"/>
          <w:sz w:val="20"/>
        </w:rPr>
        <w:t> </w:t>
      </w:r>
      <w:r w:rsidRPr="000124A3">
        <w:rPr>
          <w:rFonts w:ascii="Times New Roman" w:hAnsi="Times New Roman"/>
          <w:sz w:val="20"/>
        </w:rPr>
        <w:t>na tej podstawie ludzie są zaproszeni do doświadczenia upodobania w Bogu wyrażanego w radosnym oddawaniu Mu chwały.</w:t>
      </w:r>
    </w:p>
    <w:p w14:paraId="1F1191BB" w14:textId="4A59EE2D" w:rsidR="00DA3F6E" w:rsidRPr="000124A3" w:rsidRDefault="00DA3F6E" w:rsidP="00DA3F6E">
      <w:pPr>
        <w:rPr>
          <w:rFonts w:ascii="Times New Roman" w:hAnsi="Times New Roman"/>
          <w:sz w:val="20"/>
        </w:rPr>
      </w:pPr>
      <w:r w:rsidRPr="000124A3">
        <w:rPr>
          <w:rFonts w:ascii="Times New Roman" w:hAnsi="Times New Roman"/>
          <w:sz w:val="20"/>
        </w:rPr>
        <w:t>Podobnie So 3,14 wzywa lud Boży do radosnego oddawania chwały Bogu. „</w:t>
      </w:r>
      <w:r w:rsidRPr="000124A3">
        <w:rPr>
          <w:rFonts w:ascii="Times New Roman" w:hAnsi="Times New Roman"/>
          <w:color w:val="000000"/>
          <w:sz w:val="20"/>
        </w:rPr>
        <w:t>Wesel się, córko Syjonu, wykrzykuj głośno, Izraelu! Raduj się i wykrzykuj radośnie z całego serca</w:t>
      </w:r>
      <w:r w:rsidRPr="000124A3">
        <w:rPr>
          <w:rFonts w:ascii="Times New Roman" w:hAnsi="Times New Roman"/>
          <w:sz w:val="20"/>
        </w:rPr>
        <w:t>”. To wezwanie jest uzupełnione stwierdzeniem w So 3,17, że wszechmocny Bóg i Zbawca jest pośród swojego ludu i „</w:t>
      </w:r>
      <w:r w:rsidRPr="000124A3">
        <w:rPr>
          <w:rFonts w:ascii="Times New Roman" w:hAnsi="Times New Roman"/>
          <w:color w:val="000000"/>
          <w:sz w:val="20"/>
        </w:rPr>
        <w:t>rozweseli się wielce nad tobą, przestanie na miłości swej przeciwko tobie, i rozweseli się nad tobą z śpiewaniem</w:t>
      </w:r>
      <w:r w:rsidRPr="000124A3">
        <w:rPr>
          <w:rFonts w:ascii="Times New Roman" w:hAnsi="Times New Roman"/>
          <w:sz w:val="20"/>
        </w:rPr>
        <w:t>” (BG). Podczas gdy w</w:t>
      </w:r>
      <w:r w:rsidR="00CE6D64">
        <w:rPr>
          <w:rFonts w:ascii="Times New Roman" w:hAnsi="Times New Roman"/>
          <w:sz w:val="20"/>
        </w:rPr>
        <w:t> </w:t>
      </w:r>
      <w:r w:rsidRPr="000124A3">
        <w:rPr>
          <w:rFonts w:ascii="Times New Roman" w:hAnsi="Times New Roman"/>
          <w:sz w:val="20"/>
        </w:rPr>
        <w:t>Ps 149 Boże upodobanie jest powodem chwały i radości ludzi, w So 3 chwał oddawana Bogu wskazuje przyszłe upodobanie i radość Boga z Jego ludu.</w:t>
      </w:r>
    </w:p>
    <w:p w14:paraId="0010812A" w14:textId="77777777" w:rsidR="00DA3F6E" w:rsidRPr="000124A3" w:rsidRDefault="00DA3F6E" w:rsidP="00DA3F6E">
      <w:pPr>
        <w:rPr>
          <w:rFonts w:ascii="Times New Roman" w:hAnsi="Times New Roman"/>
          <w:sz w:val="20"/>
        </w:rPr>
      </w:pPr>
    </w:p>
    <w:p w14:paraId="1437CDA6" w14:textId="77777777" w:rsidR="00DA3F6E" w:rsidRPr="000124A3" w:rsidRDefault="00DA3F6E" w:rsidP="00DA3F6E">
      <w:pPr>
        <w:rPr>
          <w:rFonts w:ascii="Times New Roman" w:hAnsi="Times New Roman"/>
          <w:sz w:val="20"/>
        </w:rPr>
      </w:pPr>
      <w:r w:rsidRPr="000124A3">
        <w:rPr>
          <w:rFonts w:ascii="Times New Roman" w:hAnsi="Times New Roman"/>
          <w:b/>
          <w:bCs/>
          <w:sz w:val="20"/>
        </w:rPr>
        <w:t>3. Z powodu naszej niegodności potrzebujemy Chrystusa, by podobać się Bogu.</w:t>
      </w:r>
    </w:p>
    <w:p w14:paraId="3BD92549" w14:textId="77777777" w:rsidR="00DA3F6E" w:rsidRPr="000124A3" w:rsidRDefault="00DA3F6E" w:rsidP="00DA3F6E">
      <w:pPr>
        <w:rPr>
          <w:rFonts w:ascii="Times New Roman" w:hAnsi="Times New Roman"/>
          <w:sz w:val="20"/>
        </w:rPr>
      </w:pPr>
      <w:r w:rsidRPr="000124A3">
        <w:rPr>
          <w:rFonts w:ascii="Times New Roman" w:hAnsi="Times New Roman"/>
          <w:sz w:val="20"/>
        </w:rPr>
        <w:t xml:space="preserve">Pośród różnych powodów oddawania chwały Bogu, jakie podaje </w:t>
      </w:r>
      <w:r w:rsidRPr="000124A3">
        <w:rPr>
          <w:rFonts w:ascii="Times New Roman" w:hAnsi="Times New Roman"/>
          <w:i/>
          <w:iCs/>
          <w:sz w:val="20"/>
        </w:rPr>
        <w:t>Pismo Święte</w:t>
      </w:r>
      <w:r w:rsidRPr="000124A3">
        <w:rPr>
          <w:rFonts w:ascii="Times New Roman" w:hAnsi="Times New Roman"/>
          <w:sz w:val="20"/>
        </w:rPr>
        <w:t xml:space="preserve"> kierując do nas wezwanie </w:t>
      </w:r>
      <w:r w:rsidRPr="000124A3">
        <w:rPr>
          <w:rFonts w:ascii="Times New Roman" w:hAnsi="Times New Roman"/>
          <w:iCs/>
          <w:sz w:val="20"/>
        </w:rPr>
        <w:t>(zob. np. Hbr 11,5-6; 2 Kor 5,9; Kol 1,10; 1 Tes 4,1)</w:t>
      </w:r>
      <w:r w:rsidRPr="000124A3">
        <w:rPr>
          <w:rFonts w:ascii="Times New Roman" w:hAnsi="Times New Roman"/>
          <w:sz w:val="20"/>
        </w:rPr>
        <w:t>, Hbr 13,15 wzywa nas, byśmy stale składali Bogu duchowe ofiary, w tym między innymi chwalili Go i oddawali Mu dziękczynienie, czyniąc dobro i pomagając potrzebującym. Kolejny werset kończy się słowami: „</w:t>
      </w:r>
      <w:r w:rsidRPr="000124A3">
        <w:rPr>
          <w:rFonts w:ascii="Times New Roman" w:hAnsi="Times New Roman"/>
          <w:color w:val="000000"/>
          <w:sz w:val="20"/>
        </w:rPr>
        <w:t>takie bowiem ofiary podobają się Bogu</w:t>
      </w:r>
      <w:r w:rsidRPr="000124A3">
        <w:rPr>
          <w:rFonts w:ascii="Times New Roman" w:hAnsi="Times New Roman"/>
          <w:sz w:val="20"/>
        </w:rPr>
        <w:t xml:space="preserve">” </w:t>
      </w:r>
      <w:r w:rsidRPr="000124A3">
        <w:rPr>
          <w:rFonts w:ascii="Times New Roman" w:hAnsi="Times New Roman"/>
          <w:iCs/>
          <w:sz w:val="20"/>
        </w:rPr>
        <w:t>(Hbr 13,16)</w:t>
      </w:r>
      <w:r w:rsidRPr="000124A3">
        <w:rPr>
          <w:rFonts w:ascii="Times New Roman" w:hAnsi="Times New Roman"/>
          <w:sz w:val="20"/>
        </w:rPr>
        <w:t>. Ciekawe że pierwsze słowa Hbr 13,15 wskazują, że nie powinniśmy składać tych ofiar sami, ale mamy to czynić przez Jezusa. Innymi słowy, nie jesteśmy w stanie podobać się Bogu w naszej własnej chwale dla Niego i naszych dobrych uczynkach. Jedynie przez Chrystusa nasza chwała i uczynki mogą być oddawane jako duchowe ofiary prawdziwie podobające się Bogu.</w:t>
      </w:r>
    </w:p>
    <w:p w14:paraId="147829B2" w14:textId="77777777" w:rsidR="00DA3F6E" w:rsidRPr="000124A3" w:rsidRDefault="00DA3F6E" w:rsidP="00DA3F6E">
      <w:pPr>
        <w:rPr>
          <w:rFonts w:ascii="Times New Roman" w:hAnsi="Times New Roman"/>
          <w:sz w:val="20"/>
        </w:rPr>
      </w:pPr>
    </w:p>
    <w:p w14:paraId="60E46090" w14:textId="77777777" w:rsidR="00DA3F6E" w:rsidRPr="000124A3" w:rsidRDefault="00DA3F6E" w:rsidP="00DA3F6E">
      <w:pPr>
        <w:ind w:firstLine="0"/>
        <w:rPr>
          <w:rFonts w:ascii="Times New Roman" w:hAnsi="Times New Roman"/>
          <w:sz w:val="20"/>
        </w:rPr>
      </w:pPr>
      <w:r w:rsidRPr="000124A3">
        <w:rPr>
          <w:rFonts w:ascii="Times New Roman" w:hAnsi="Times New Roman"/>
          <w:b/>
          <w:sz w:val="20"/>
        </w:rPr>
        <w:t>Zastosowanie</w:t>
      </w:r>
    </w:p>
    <w:p w14:paraId="3459586B" w14:textId="77777777" w:rsidR="00DA3F6E" w:rsidRPr="000124A3" w:rsidRDefault="00DA3F6E" w:rsidP="00DA3F6E">
      <w:pPr>
        <w:rPr>
          <w:rFonts w:ascii="Times New Roman" w:hAnsi="Times New Roman"/>
          <w:sz w:val="20"/>
        </w:rPr>
      </w:pPr>
      <w:r w:rsidRPr="000124A3">
        <w:rPr>
          <w:rFonts w:ascii="Times New Roman" w:hAnsi="Times New Roman"/>
          <w:sz w:val="20"/>
        </w:rPr>
        <w:t>Bóg nadał ludziom ogromną wartość. Ceni nas tak wysoko, gdyż stworzył nas na swój obraz. To zdumiewające, ale Bóg ceni nas bardziej, niż możemy to sobie wyobrazić. Wiedząc to omówcie wasze odpowiedzi na poniższe pytania:</w:t>
      </w:r>
    </w:p>
    <w:p w14:paraId="62A1CE1F" w14:textId="45792D16" w:rsidR="00DA3F6E" w:rsidRPr="000124A3" w:rsidRDefault="00DA3F6E" w:rsidP="00DA3F6E">
      <w:pPr>
        <w:rPr>
          <w:rFonts w:ascii="Times New Roman" w:hAnsi="Times New Roman"/>
          <w:sz w:val="20"/>
        </w:rPr>
      </w:pPr>
      <w:r w:rsidRPr="000124A3">
        <w:rPr>
          <w:rFonts w:ascii="Times New Roman" w:hAnsi="Times New Roman"/>
          <w:sz w:val="20"/>
        </w:rPr>
        <w:t>1. Jak nasz szacunek i miłość do ludzi, których spotykamy na co dzień, uświadamiają im, jak cenni są w</w:t>
      </w:r>
      <w:r>
        <w:rPr>
          <w:rFonts w:ascii="Times New Roman" w:hAnsi="Times New Roman"/>
          <w:sz w:val="20"/>
        </w:rPr>
        <w:t> </w:t>
      </w:r>
      <w:r w:rsidRPr="000124A3">
        <w:rPr>
          <w:rFonts w:ascii="Times New Roman" w:hAnsi="Times New Roman"/>
          <w:sz w:val="20"/>
        </w:rPr>
        <w:t>oczach Boga?</w:t>
      </w:r>
    </w:p>
    <w:p w14:paraId="746D5F83" w14:textId="77777777" w:rsidR="00DA3F6E" w:rsidRPr="000124A3" w:rsidRDefault="00DA3F6E" w:rsidP="00DA3F6E">
      <w:pPr>
        <w:rPr>
          <w:rFonts w:ascii="Times New Roman" w:hAnsi="Times New Roman"/>
          <w:sz w:val="20"/>
        </w:rPr>
      </w:pPr>
      <w:r w:rsidRPr="000124A3">
        <w:rPr>
          <w:rFonts w:ascii="Times New Roman" w:hAnsi="Times New Roman"/>
          <w:sz w:val="20"/>
        </w:rPr>
        <w:t>2. W jaki sposób zdarza się ludziom religijnym niesłusznie lekceważyć godność i wartość bliźnich?</w:t>
      </w:r>
    </w:p>
    <w:p w14:paraId="22F62625" w14:textId="54C36D26" w:rsidR="00DA3F6E" w:rsidRPr="000124A3" w:rsidRDefault="00DA3F6E" w:rsidP="00DA3F6E">
      <w:pPr>
        <w:rPr>
          <w:rFonts w:ascii="Times New Roman" w:hAnsi="Times New Roman"/>
          <w:sz w:val="20"/>
        </w:rPr>
      </w:pPr>
      <w:r w:rsidRPr="000124A3">
        <w:rPr>
          <w:rFonts w:ascii="Times New Roman" w:hAnsi="Times New Roman"/>
          <w:sz w:val="20"/>
        </w:rPr>
        <w:lastRenderedPageBreak/>
        <w:t>3. Ci, którzy miłują Boga, chcą wiedzieć, jak mogą się Mu podobać. W jaki sposób jest to możliwe? W</w:t>
      </w:r>
      <w:r>
        <w:rPr>
          <w:rFonts w:ascii="Times New Roman" w:hAnsi="Times New Roman"/>
          <w:sz w:val="20"/>
        </w:rPr>
        <w:t> </w:t>
      </w:r>
      <w:r w:rsidRPr="000124A3">
        <w:rPr>
          <w:rFonts w:ascii="Times New Roman" w:hAnsi="Times New Roman"/>
          <w:sz w:val="20"/>
        </w:rPr>
        <w:t>jakim stopniu nasza ocena wartości innych ludzi opiera się na upodobaniu, jakie Bóg znajduje w zbawieniu ich?</w:t>
      </w:r>
    </w:p>
    <w:p w14:paraId="58220F2A" w14:textId="77777777" w:rsidR="00DA3F6E" w:rsidRPr="000124A3" w:rsidRDefault="00DA3F6E" w:rsidP="00DA3F6E">
      <w:pPr>
        <w:rPr>
          <w:rFonts w:ascii="Times New Roman" w:hAnsi="Times New Roman"/>
          <w:sz w:val="20"/>
        </w:rPr>
      </w:pPr>
      <w:r w:rsidRPr="000124A3">
        <w:rPr>
          <w:rFonts w:ascii="Times New Roman" w:hAnsi="Times New Roman"/>
          <w:sz w:val="20"/>
        </w:rPr>
        <w:t>4. Co możesz uczynić, by cenić każdego człowieka tak, by znajdować upodobanie w jego zbawieniu oraz przekazać mu prawdę o dobroci i stałej miłości Boga?</w:t>
      </w:r>
    </w:p>
    <w:p w14:paraId="2DACA12A" w14:textId="088925DA" w:rsidR="00DA3F6E" w:rsidRPr="000124A3" w:rsidRDefault="00DA3F6E" w:rsidP="00DA3F6E">
      <w:pPr>
        <w:rPr>
          <w:rFonts w:ascii="Times New Roman" w:hAnsi="Times New Roman"/>
          <w:sz w:val="20"/>
        </w:rPr>
      </w:pPr>
      <w:r w:rsidRPr="000124A3">
        <w:rPr>
          <w:rFonts w:ascii="Times New Roman" w:hAnsi="Times New Roman"/>
          <w:sz w:val="20"/>
        </w:rPr>
        <w:t>5. Podaj jeden praktyczny przykład, jak wstawiennictwo Chrystusa uzdalnia nas do podobania się Bogu w</w:t>
      </w:r>
      <w:r>
        <w:rPr>
          <w:rFonts w:ascii="Times New Roman" w:hAnsi="Times New Roman"/>
          <w:sz w:val="20"/>
        </w:rPr>
        <w:t> </w:t>
      </w:r>
      <w:r w:rsidRPr="000124A3">
        <w:rPr>
          <w:rFonts w:ascii="Times New Roman" w:hAnsi="Times New Roman"/>
          <w:sz w:val="20"/>
        </w:rPr>
        <w:t>naszym postępowaniu.</w:t>
      </w:r>
    </w:p>
    <w:p w14:paraId="52AF991B" w14:textId="77777777" w:rsidR="00DA3F6E" w:rsidRPr="000124A3" w:rsidRDefault="00DA3F6E" w:rsidP="00DA3F6E">
      <w:pPr>
        <w:rPr>
          <w:rFonts w:ascii="Times New Roman" w:hAnsi="Times New Roman"/>
          <w:sz w:val="20"/>
        </w:rPr>
      </w:pPr>
    </w:p>
    <w:p w14:paraId="1AE5EA6D" w14:textId="77777777" w:rsidR="0044168C" w:rsidRPr="00E46144" w:rsidRDefault="0044168C" w:rsidP="0044168C">
      <w:pPr>
        <w:rPr>
          <w:rFonts w:ascii="Times New Roman" w:eastAsia="Microsoft JhengHei" w:hAnsi="Times New Roman"/>
          <w:spacing w:val="4"/>
          <w:kern w:val="16"/>
          <w:sz w:val="20"/>
        </w:rPr>
      </w:pPr>
      <w:r w:rsidRPr="00E46144">
        <w:rPr>
          <w:rFonts w:ascii="Times New Roman" w:eastAsia="Microsoft JhengHei" w:hAnsi="Times New Roman"/>
          <w:spacing w:val="4"/>
          <w:kern w:val="16"/>
          <w:sz w:val="20"/>
        </w:rPr>
        <w:t xml:space="preserve"> </w:t>
      </w:r>
    </w:p>
    <w:p w14:paraId="25FA607D" w14:textId="67013B48" w:rsidR="006A2EC2" w:rsidRPr="00267B4D" w:rsidRDefault="00906708" w:rsidP="00FC3AD9">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6A2EC2"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9302" w14:textId="77777777" w:rsidR="00FA7CA2" w:rsidRDefault="00FA7CA2" w:rsidP="00A820C9">
      <w:r>
        <w:separator/>
      </w:r>
    </w:p>
  </w:endnote>
  <w:endnote w:type="continuationSeparator" w:id="0">
    <w:p w14:paraId="212195A5" w14:textId="77777777" w:rsidR="00FA7CA2" w:rsidRDefault="00FA7CA2"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F3FA" w14:textId="77777777" w:rsidR="00FA7CA2" w:rsidRDefault="00FA7CA2" w:rsidP="00A820C9">
      <w:r>
        <w:separator/>
      </w:r>
    </w:p>
  </w:footnote>
  <w:footnote w:type="continuationSeparator" w:id="0">
    <w:p w14:paraId="5FF54476" w14:textId="77777777" w:rsidR="00FA7CA2" w:rsidRDefault="00FA7CA2"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6921E6C6" w:rsidR="005A7551" w:rsidRPr="00C47D25" w:rsidRDefault="00B2361E"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5A7551">
      <w:rPr>
        <w:rFonts w:ascii="Times New Roman" w:eastAsia="MS PMincho" w:hAnsi="Times New Roman"/>
        <w:sz w:val="16"/>
        <w:szCs w:val="16"/>
      </w:rPr>
      <w:t>1</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5A7551" w:rsidRPr="00B73E07">
      <w:rPr>
        <w:rFonts w:ascii="Times New Roman" w:hAnsi="Times New Roman"/>
        <w:sz w:val="16"/>
        <w:szCs w:val="16"/>
      </w:rPr>
      <w:t xml:space="preserve">E. </w:t>
    </w:r>
    <w:r w:rsidR="005A7551">
      <w:rPr>
        <w:rFonts w:ascii="Times New Roman" w:hAnsi="Times New Roman"/>
        <w:sz w:val="16"/>
        <w:szCs w:val="16"/>
      </w:rPr>
      <w:t>John C. Peckham</w:t>
    </w:r>
    <w:r w:rsidR="005A7551" w:rsidRPr="00B73E07">
      <w:rPr>
        <w:rFonts w:ascii="Times New Roman" w:hAnsi="Times New Roman"/>
        <w:sz w:val="16"/>
        <w:szCs w:val="16"/>
      </w:rPr>
      <w:t xml:space="preserve">, </w:t>
    </w:r>
    <w:r w:rsidR="005A7551">
      <w:rPr>
        <w:rFonts w:ascii="Times New Roman" w:hAnsi="Times New Roman"/>
        <w:i/>
        <w:iCs/>
        <w:sz w:val="16"/>
        <w:szCs w:val="16"/>
      </w:rPr>
      <w:t>Boża miłość i sprawiedliwość,</w:t>
    </w:r>
    <w:r w:rsidR="005A7551" w:rsidRPr="005A7551">
      <w:rPr>
        <w:rFonts w:ascii="Times New Roman" w:hAnsi="Times New Roman"/>
        <w:sz w:val="16"/>
        <w:szCs w:val="16"/>
      </w:rPr>
      <w:t xml:space="preserve"> </w:t>
    </w:r>
    <w:r w:rsidR="005A7551" w:rsidRPr="00B2361E">
      <w:rPr>
        <w:rFonts w:ascii="Times New Roman" w:hAnsi="Times New Roman"/>
        <w:sz w:val="16"/>
        <w:szCs w:val="16"/>
      </w:rPr>
      <w:t>Przewodnik dla nauczycieli</w:t>
    </w:r>
    <w:r w:rsidR="005A7551">
      <w:rPr>
        <w:rFonts w:ascii="Times New Roman" w:hAnsi="Times New Roman"/>
        <w:i/>
        <w:iCs/>
        <w:sz w:val="16"/>
        <w:szCs w:val="16"/>
      </w:rPr>
      <w:t xml:space="preserve"> </w:t>
    </w:r>
    <w:r w:rsidR="005A7551" w:rsidRPr="00B2361E">
      <w:rPr>
        <w:rFonts w:ascii="Times New Roman" w:hAnsi="Times New Roman"/>
        <w:sz w:val="16"/>
        <w:szCs w:val="16"/>
      </w:rPr>
      <w:t>Lekcja</w:t>
    </w:r>
    <w:r w:rsidR="005A7551">
      <w:rPr>
        <w:rFonts w:ascii="Times New Roman" w:hAnsi="Times New Roman"/>
        <w:sz w:val="16"/>
        <w:szCs w:val="16"/>
      </w:rPr>
      <w:t xml:space="preserve"> </w:t>
    </w:r>
    <w:r w:rsidR="003F7123">
      <w:rPr>
        <w:rFonts w:ascii="Times New Roman" w:hAnsi="Times New Roman"/>
        <w:sz w:val="16"/>
        <w:szCs w:val="16"/>
      </w:rPr>
      <w:t>3</w:t>
    </w:r>
    <w:r w:rsidR="005A7551" w:rsidRPr="00C47D25">
      <w:rPr>
        <w:rFonts w:ascii="Times New Roman" w:hAnsi="Times New Roman"/>
        <w:i/>
        <w:iCs/>
        <w:sz w:val="16"/>
        <w:szCs w:val="16"/>
      </w:rPr>
      <w:t xml:space="preserve">- </w:t>
    </w:r>
    <w:r w:rsidR="003F7123">
      <w:rPr>
        <w:rFonts w:ascii="Times New Roman" w:eastAsia="Microsoft JhengHei" w:hAnsi="Times New Roman"/>
        <w:i/>
        <w:iCs/>
        <w:spacing w:val="4"/>
        <w:kern w:val="16"/>
        <w:sz w:val="16"/>
        <w:szCs w:val="16"/>
      </w:rPr>
      <w:t>Być miłym Bogu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03FF"/>
    <w:rsid w:val="000314C7"/>
    <w:rsid w:val="00034222"/>
    <w:rsid w:val="00035493"/>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7EF"/>
    <w:rsid w:val="000C79F2"/>
    <w:rsid w:val="000D0B43"/>
    <w:rsid w:val="000D14AD"/>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15F5"/>
    <w:rsid w:val="001A488C"/>
    <w:rsid w:val="001A630F"/>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C5E"/>
    <w:rsid w:val="00426967"/>
    <w:rsid w:val="00430F8E"/>
    <w:rsid w:val="00432700"/>
    <w:rsid w:val="004329D1"/>
    <w:rsid w:val="00432B5F"/>
    <w:rsid w:val="0043366A"/>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3CD9"/>
    <w:rsid w:val="00524B4C"/>
    <w:rsid w:val="00525008"/>
    <w:rsid w:val="00527468"/>
    <w:rsid w:val="00535F72"/>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5F2E"/>
    <w:rsid w:val="005675D2"/>
    <w:rsid w:val="00570DDD"/>
    <w:rsid w:val="005731EA"/>
    <w:rsid w:val="0058262E"/>
    <w:rsid w:val="0058291A"/>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37DE"/>
    <w:rsid w:val="005F4846"/>
    <w:rsid w:val="005F4946"/>
    <w:rsid w:val="005F5068"/>
    <w:rsid w:val="005F55A6"/>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E44CF"/>
    <w:rsid w:val="006E4779"/>
    <w:rsid w:val="006E50A8"/>
    <w:rsid w:val="006E5C3B"/>
    <w:rsid w:val="006E7492"/>
    <w:rsid w:val="006E7DE4"/>
    <w:rsid w:val="006F0CFF"/>
    <w:rsid w:val="006F1566"/>
    <w:rsid w:val="006F2FFB"/>
    <w:rsid w:val="006F3FE7"/>
    <w:rsid w:val="006F6571"/>
    <w:rsid w:val="0071208E"/>
    <w:rsid w:val="00717B54"/>
    <w:rsid w:val="00720CD3"/>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608BA"/>
    <w:rsid w:val="0076223F"/>
    <w:rsid w:val="0076232D"/>
    <w:rsid w:val="007648E7"/>
    <w:rsid w:val="00767D8E"/>
    <w:rsid w:val="00772085"/>
    <w:rsid w:val="0077525B"/>
    <w:rsid w:val="00776C42"/>
    <w:rsid w:val="007809B8"/>
    <w:rsid w:val="007812DA"/>
    <w:rsid w:val="00785516"/>
    <w:rsid w:val="0078579F"/>
    <w:rsid w:val="007903E8"/>
    <w:rsid w:val="00792F72"/>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61CA"/>
    <w:rsid w:val="00832F7A"/>
    <w:rsid w:val="00833A91"/>
    <w:rsid w:val="00835F92"/>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1A12"/>
    <w:rsid w:val="00971D22"/>
    <w:rsid w:val="00972FAE"/>
    <w:rsid w:val="00974B48"/>
    <w:rsid w:val="0097572F"/>
    <w:rsid w:val="00976FCA"/>
    <w:rsid w:val="00977142"/>
    <w:rsid w:val="0097770A"/>
    <w:rsid w:val="00980C54"/>
    <w:rsid w:val="00981BE7"/>
    <w:rsid w:val="0098700D"/>
    <w:rsid w:val="00991BDC"/>
    <w:rsid w:val="009922DE"/>
    <w:rsid w:val="0099242B"/>
    <w:rsid w:val="00992622"/>
    <w:rsid w:val="00993777"/>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3AF6"/>
    <w:rsid w:val="00A03BC6"/>
    <w:rsid w:val="00A05ED7"/>
    <w:rsid w:val="00A06761"/>
    <w:rsid w:val="00A06A1A"/>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3F8F"/>
    <w:rsid w:val="00A94187"/>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5A7A"/>
    <w:rsid w:val="00AE5A8E"/>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301C"/>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571A"/>
    <w:rsid w:val="00CB5ACE"/>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F6E"/>
    <w:rsid w:val="00DA421C"/>
    <w:rsid w:val="00DB067E"/>
    <w:rsid w:val="00DB2CB9"/>
    <w:rsid w:val="00DB3763"/>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236"/>
    <w:rsid w:val="00DF07F4"/>
    <w:rsid w:val="00DF1EA2"/>
    <w:rsid w:val="00DF66A4"/>
    <w:rsid w:val="00DF7C0C"/>
    <w:rsid w:val="00E00CA0"/>
    <w:rsid w:val="00E024F6"/>
    <w:rsid w:val="00E03075"/>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C1ADB"/>
    <w:rsid w:val="00EC2C82"/>
    <w:rsid w:val="00EC7ACF"/>
    <w:rsid w:val="00ED244C"/>
    <w:rsid w:val="00EE38FA"/>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304"/>
    <w:rsid w:val="00FA2519"/>
    <w:rsid w:val="00FA32A9"/>
    <w:rsid w:val="00FA6AD5"/>
    <w:rsid w:val="00FA7C51"/>
    <w:rsid w:val="00FA7CA2"/>
    <w:rsid w:val="00FB0002"/>
    <w:rsid w:val="00FB046C"/>
    <w:rsid w:val="00FB2114"/>
    <w:rsid w:val="00FB243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1537</Words>
  <Characters>8412</Characters>
  <Application>Microsoft Office Word</Application>
  <DocSecurity>0</DocSecurity>
  <Lines>200</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2023-06-19T12:47:00Z</cp:lastPrinted>
  <dcterms:created xsi:type="dcterms:W3CDTF">2024-12-23T20:27:00Z</dcterms:created>
  <dcterms:modified xsi:type="dcterms:W3CDTF">2024-12-23T20:30:00Z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