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0A3ED663"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7F0ED6">
        <w:rPr>
          <w:rFonts w:ascii="Times New Roman" w:hAnsi="Times New Roman"/>
          <w:sz w:val="20"/>
        </w:rPr>
        <w:t>4</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0D0A12">
        <w:rPr>
          <w:rFonts w:ascii="Times New Roman" w:hAnsi="Times New Roman"/>
          <w:sz w:val="20"/>
        </w:rPr>
        <w:t xml:space="preserve">             </w:t>
      </w:r>
      <w:r w:rsidR="00CE30D4">
        <w:rPr>
          <w:rFonts w:ascii="Times New Roman" w:hAnsi="Times New Roman"/>
          <w:sz w:val="20"/>
        </w:rPr>
        <w:t>2</w:t>
      </w:r>
      <w:r w:rsidR="007F0ED6">
        <w:rPr>
          <w:rFonts w:ascii="Times New Roman" w:hAnsi="Times New Roman"/>
          <w:sz w:val="20"/>
        </w:rPr>
        <w:t>7</w:t>
      </w:r>
      <w:r w:rsidR="001325A8">
        <w:rPr>
          <w:rFonts w:ascii="Times New Roman" w:hAnsi="Times New Roman"/>
          <w:sz w:val="20"/>
        </w:rPr>
        <w:t xml:space="preserve"> lipca</w:t>
      </w:r>
      <w:r w:rsidR="009922DE" w:rsidRPr="00267B4D">
        <w:rPr>
          <w:rFonts w:ascii="Times New Roman" w:hAnsi="Times New Roman"/>
          <w:sz w:val="20"/>
        </w:rPr>
        <w:t xml:space="preserve"> </w:t>
      </w:r>
    </w:p>
    <w:p w14:paraId="4B5719A7" w14:textId="005FC8E0" w:rsidR="00B917A2" w:rsidRPr="00FC6F71" w:rsidRDefault="007F0ED6" w:rsidP="00D7590D">
      <w:pPr>
        <w:ind w:firstLine="0"/>
        <w:jc w:val="center"/>
        <w:rPr>
          <w:rFonts w:ascii="Times New Roman" w:hAnsi="Times New Roman"/>
          <w:b/>
          <w:bCs/>
          <w:sz w:val="28"/>
          <w:szCs w:val="28"/>
        </w:rPr>
      </w:pPr>
      <w:r>
        <w:rPr>
          <w:rFonts w:ascii="Times New Roman" w:hAnsi="Times New Roman"/>
          <w:b/>
          <w:bCs/>
          <w:sz w:val="28"/>
          <w:szCs w:val="28"/>
        </w:rPr>
        <w:t>PRZYPOWIEŚCI</w:t>
      </w:r>
    </w:p>
    <w:p w14:paraId="7932C94A" w14:textId="77777777" w:rsidR="001325A8" w:rsidRDefault="001325A8" w:rsidP="00E319A2">
      <w:pPr>
        <w:rPr>
          <w:rFonts w:ascii="Times New Roman" w:hAnsi="Times New Roman"/>
          <w:b/>
          <w:bCs/>
          <w:sz w:val="20"/>
        </w:rPr>
      </w:pPr>
    </w:p>
    <w:p w14:paraId="6818920F" w14:textId="77777777" w:rsidR="00990B8A" w:rsidRPr="00C40BF2" w:rsidRDefault="00990B8A" w:rsidP="00990B8A">
      <w:pPr>
        <w:rPr>
          <w:rFonts w:ascii="Times New Roman" w:hAnsi="Times New Roman"/>
          <w:sz w:val="20"/>
        </w:rPr>
      </w:pPr>
      <w:r w:rsidRPr="00C40BF2">
        <w:rPr>
          <w:rFonts w:ascii="Times New Roman" w:hAnsi="Times New Roman"/>
          <w:b/>
          <w:bCs/>
          <w:sz w:val="20"/>
        </w:rPr>
        <w:t>Część I: Przegląd</w:t>
      </w:r>
    </w:p>
    <w:p w14:paraId="11A83426" w14:textId="77777777" w:rsidR="00990B8A" w:rsidRPr="00C40BF2" w:rsidRDefault="00990B8A" w:rsidP="00990B8A">
      <w:pPr>
        <w:rPr>
          <w:rFonts w:ascii="Times New Roman" w:hAnsi="Times New Roman"/>
          <w:sz w:val="20"/>
        </w:rPr>
      </w:pPr>
    </w:p>
    <w:p w14:paraId="7CE56274" w14:textId="77777777" w:rsidR="00990B8A" w:rsidRPr="00C40BF2" w:rsidRDefault="00990B8A" w:rsidP="00990B8A">
      <w:pPr>
        <w:rPr>
          <w:rFonts w:ascii="Times New Roman" w:hAnsi="Times New Roman"/>
          <w:i/>
          <w:iCs/>
          <w:sz w:val="20"/>
        </w:rPr>
      </w:pPr>
      <w:r w:rsidRPr="00C40BF2">
        <w:rPr>
          <w:rFonts w:ascii="Times New Roman" w:hAnsi="Times New Roman"/>
          <w:b/>
          <w:bCs/>
          <w:sz w:val="20"/>
        </w:rPr>
        <w:t xml:space="preserve">Teksty przewodnie: </w:t>
      </w:r>
      <w:r w:rsidRPr="00C40BF2">
        <w:rPr>
          <w:rFonts w:ascii="Times New Roman" w:hAnsi="Times New Roman"/>
          <w:b/>
          <w:iCs/>
          <w:sz w:val="20"/>
        </w:rPr>
        <w:t>Mk 1,15; 4,11.26.30.</w:t>
      </w:r>
    </w:p>
    <w:p w14:paraId="06FEF561" w14:textId="77777777" w:rsidR="00990B8A" w:rsidRPr="00C40BF2" w:rsidRDefault="00990B8A" w:rsidP="00990B8A">
      <w:pPr>
        <w:rPr>
          <w:rFonts w:ascii="Times New Roman" w:hAnsi="Times New Roman"/>
          <w:sz w:val="20"/>
        </w:rPr>
      </w:pPr>
    </w:p>
    <w:p w14:paraId="7E1839D0" w14:textId="77777777" w:rsidR="00990B8A" w:rsidRPr="00C40BF2" w:rsidRDefault="00990B8A" w:rsidP="00990B8A">
      <w:pPr>
        <w:rPr>
          <w:rFonts w:ascii="Times New Roman" w:hAnsi="Times New Roman"/>
          <w:b/>
          <w:iCs/>
          <w:sz w:val="20"/>
        </w:rPr>
      </w:pPr>
      <w:r w:rsidRPr="00C40BF2">
        <w:rPr>
          <w:rFonts w:ascii="Times New Roman" w:hAnsi="Times New Roman"/>
          <w:b/>
          <w:bCs/>
          <w:sz w:val="20"/>
        </w:rPr>
        <w:t>Zakres studium:</w:t>
      </w:r>
      <w:r w:rsidRPr="00C40BF2">
        <w:rPr>
          <w:rFonts w:ascii="Times New Roman" w:hAnsi="Times New Roman"/>
          <w:b/>
          <w:sz w:val="20"/>
        </w:rPr>
        <w:t xml:space="preserve"> </w:t>
      </w:r>
      <w:r w:rsidRPr="00C40BF2">
        <w:rPr>
          <w:rFonts w:ascii="Times New Roman" w:hAnsi="Times New Roman"/>
          <w:b/>
          <w:iCs/>
          <w:sz w:val="20"/>
        </w:rPr>
        <w:t>Dn 7,27, Dn 9,25-27, Mk 1,15, Mk 4,11-32.</w:t>
      </w:r>
    </w:p>
    <w:p w14:paraId="026EEDE2" w14:textId="77777777" w:rsidR="00990B8A" w:rsidRPr="00C40BF2" w:rsidRDefault="00990B8A" w:rsidP="00990B8A">
      <w:pPr>
        <w:rPr>
          <w:rFonts w:ascii="Times New Roman" w:hAnsi="Times New Roman"/>
          <w:b/>
          <w:iCs/>
          <w:sz w:val="20"/>
        </w:rPr>
      </w:pPr>
    </w:p>
    <w:p w14:paraId="74A89A64" w14:textId="77777777" w:rsidR="00990B8A" w:rsidRPr="00C40BF2" w:rsidRDefault="00990B8A" w:rsidP="00990B8A">
      <w:pPr>
        <w:rPr>
          <w:rFonts w:ascii="Times New Roman" w:hAnsi="Times New Roman"/>
          <w:sz w:val="20"/>
        </w:rPr>
      </w:pPr>
      <w:r w:rsidRPr="00C40BF2">
        <w:rPr>
          <w:rFonts w:ascii="Times New Roman" w:hAnsi="Times New Roman"/>
          <w:b/>
          <w:bCs/>
          <w:sz w:val="20"/>
        </w:rPr>
        <w:t xml:space="preserve">Wprowadzenie: </w:t>
      </w:r>
      <w:r w:rsidRPr="00C40BF2">
        <w:rPr>
          <w:rFonts w:ascii="Times New Roman" w:hAnsi="Times New Roman"/>
          <w:sz w:val="20"/>
        </w:rPr>
        <w:t>Studiując przypowieści Jezusa w Mk 4 zauważamy w nich motyw przewodni - królestwo Boże. Ten temat pojawia się po raz pierwszy w Mk 1,14-15: „P</w:t>
      </w:r>
      <w:r w:rsidRPr="00C40BF2">
        <w:rPr>
          <w:rFonts w:ascii="Times New Roman" w:hAnsi="Times New Roman"/>
          <w:color w:val="000000"/>
          <w:sz w:val="20"/>
        </w:rPr>
        <w:t>rzyszedł Jezus do Galilei, głosząc ewangelię Bożą i mówiąc: Wypełnił się czas i przybliżyło się Królestwo Boże</w:t>
      </w:r>
      <w:r w:rsidRPr="00C40BF2">
        <w:rPr>
          <w:rFonts w:ascii="Times New Roman" w:hAnsi="Times New Roman"/>
          <w:sz w:val="20"/>
        </w:rPr>
        <w:t>”. Co oznacza królestwo Boże w narracji Marka? Próba odpowiedzi na to pytanie będzie zasadniczym tematem naszego studium w tym tygodniu. Zrozumienie tego motywu i jego znaczenia pomoże nam lepiej pojąć przypowieści Jezusa.</w:t>
      </w:r>
    </w:p>
    <w:p w14:paraId="0337DD61" w14:textId="77777777" w:rsidR="00990B8A" w:rsidRPr="00C40BF2" w:rsidRDefault="00990B8A" w:rsidP="00990B8A">
      <w:pPr>
        <w:rPr>
          <w:rFonts w:ascii="Times New Roman" w:hAnsi="Times New Roman"/>
          <w:sz w:val="20"/>
        </w:rPr>
      </w:pPr>
    </w:p>
    <w:p w14:paraId="11347DC6" w14:textId="77777777" w:rsidR="00990B8A" w:rsidRDefault="00990B8A" w:rsidP="00990B8A">
      <w:pPr>
        <w:rPr>
          <w:rFonts w:ascii="Times New Roman" w:hAnsi="Times New Roman"/>
          <w:b/>
          <w:bCs/>
          <w:sz w:val="20"/>
        </w:rPr>
      </w:pPr>
      <w:r w:rsidRPr="00C40BF2">
        <w:rPr>
          <w:rFonts w:ascii="Times New Roman" w:hAnsi="Times New Roman"/>
          <w:b/>
          <w:bCs/>
          <w:sz w:val="20"/>
        </w:rPr>
        <w:t>Tematy lekcji</w:t>
      </w:r>
    </w:p>
    <w:p w14:paraId="30AF921F" w14:textId="77777777" w:rsidR="000D0A12" w:rsidRPr="00C40BF2" w:rsidRDefault="000D0A12" w:rsidP="00990B8A">
      <w:pPr>
        <w:rPr>
          <w:rFonts w:ascii="Times New Roman" w:hAnsi="Times New Roman"/>
          <w:b/>
          <w:bCs/>
          <w:sz w:val="20"/>
        </w:rPr>
      </w:pPr>
    </w:p>
    <w:p w14:paraId="25C9DCDD" w14:textId="77777777" w:rsidR="00990B8A" w:rsidRPr="00C40BF2" w:rsidRDefault="00990B8A" w:rsidP="00990B8A">
      <w:pPr>
        <w:rPr>
          <w:rFonts w:ascii="Times New Roman" w:hAnsi="Times New Roman"/>
          <w:iCs/>
          <w:sz w:val="20"/>
        </w:rPr>
      </w:pPr>
      <w:r w:rsidRPr="00C40BF2">
        <w:rPr>
          <w:rFonts w:ascii="Times New Roman" w:hAnsi="Times New Roman"/>
          <w:iCs/>
          <w:sz w:val="20"/>
        </w:rPr>
        <w:t xml:space="preserve">W tej lekcji będziemy studiować dwie kwestie: wypełnienie czasu i królestwo Boże na podstawie wybranych fragmentów </w:t>
      </w:r>
      <w:r w:rsidRPr="00C40BF2">
        <w:rPr>
          <w:rFonts w:ascii="Times New Roman" w:hAnsi="Times New Roman"/>
          <w:i/>
          <w:sz w:val="20"/>
        </w:rPr>
        <w:t>Ewangelii Marka</w:t>
      </w:r>
      <w:r w:rsidRPr="00C40BF2">
        <w:rPr>
          <w:rFonts w:ascii="Times New Roman" w:hAnsi="Times New Roman"/>
          <w:iCs/>
          <w:sz w:val="20"/>
        </w:rPr>
        <w:t>. Tak więc nasze studium będzie się składało z dwóch części:</w:t>
      </w:r>
    </w:p>
    <w:p w14:paraId="4C2AE326" w14:textId="77777777" w:rsidR="00990B8A" w:rsidRPr="00C40BF2" w:rsidRDefault="00990B8A" w:rsidP="00990B8A">
      <w:pPr>
        <w:rPr>
          <w:rFonts w:ascii="Times New Roman" w:hAnsi="Times New Roman"/>
          <w:iCs/>
          <w:sz w:val="20"/>
        </w:rPr>
      </w:pPr>
      <w:r w:rsidRPr="00C40BF2">
        <w:rPr>
          <w:rFonts w:ascii="Times New Roman" w:hAnsi="Times New Roman"/>
          <w:iCs/>
          <w:sz w:val="20"/>
        </w:rPr>
        <w:t xml:space="preserve">1. </w:t>
      </w:r>
      <w:r w:rsidRPr="00C40BF2">
        <w:rPr>
          <w:rFonts w:ascii="Times New Roman" w:hAnsi="Times New Roman"/>
          <w:b/>
          <w:bCs/>
          <w:iCs/>
          <w:sz w:val="20"/>
        </w:rPr>
        <w:t xml:space="preserve">Nawiązanie do wyrażenia „królestwo Boże” w </w:t>
      </w:r>
      <w:r w:rsidRPr="00C40BF2">
        <w:rPr>
          <w:rFonts w:ascii="Times New Roman" w:hAnsi="Times New Roman"/>
          <w:b/>
          <w:bCs/>
          <w:i/>
          <w:sz w:val="20"/>
        </w:rPr>
        <w:t>Księdze Daniela</w:t>
      </w:r>
      <w:r w:rsidRPr="00C40BF2">
        <w:rPr>
          <w:rFonts w:ascii="Times New Roman" w:hAnsi="Times New Roman"/>
          <w:b/>
          <w:bCs/>
          <w:iCs/>
          <w:sz w:val="20"/>
        </w:rPr>
        <w:t xml:space="preserve">. </w:t>
      </w:r>
      <w:r w:rsidRPr="00C40BF2">
        <w:rPr>
          <w:rFonts w:ascii="Times New Roman" w:hAnsi="Times New Roman"/>
          <w:iCs/>
          <w:sz w:val="20"/>
        </w:rPr>
        <w:t>W tej części będziemy studiować możliwy kontekst wyrażenia w Mk 1,15: „Wypełnił się czas”.</w:t>
      </w:r>
    </w:p>
    <w:p w14:paraId="245912FB" w14:textId="77777777" w:rsidR="00990B8A" w:rsidRPr="00C40BF2" w:rsidRDefault="00990B8A" w:rsidP="00990B8A">
      <w:pPr>
        <w:rPr>
          <w:rFonts w:ascii="Times New Roman" w:hAnsi="Times New Roman"/>
          <w:iCs/>
          <w:sz w:val="20"/>
        </w:rPr>
      </w:pPr>
      <w:r w:rsidRPr="00C40BF2">
        <w:rPr>
          <w:rFonts w:ascii="Times New Roman" w:hAnsi="Times New Roman"/>
          <w:iCs/>
          <w:sz w:val="20"/>
        </w:rPr>
        <w:t xml:space="preserve">2. </w:t>
      </w:r>
      <w:r w:rsidRPr="00C40BF2">
        <w:rPr>
          <w:rFonts w:ascii="Times New Roman" w:hAnsi="Times New Roman"/>
          <w:b/>
          <w:bCs/>
          <w:iCs/>
          <w:sz w:val="20"/>
        </w:rPr>
        <w:t xml:space="preserve">Królestwo Boże w </w:t>
      </w:r>
      <w:r w:rsidRPr="00C40BF2">
        <w:rPr>
          <w:rFonts w:ascii="Times New Roman" w:hAnsi="Times New Roman"/>
          <w:b/>
          <w:bCs/>
          <w:i/>
          <w:sz w:val="20"/>
        </w:rPr>
        <w:t>Ewangelii Marka</w:t>
      </w:r>
      <w:r w:rsidRPr="00C40BF2">
        <w:rPr>
          <w:rFonts w:ascii="Times New Roman" w:hAnsi="Times New Roman"/>
          <w:b/>
          <w:bCs/>
          <w:iCs/>
          <w:sz w:val="20"/>
        </w:rPr>
        <w:t>.</w:t>
      </w:r>
      <w:r w:rsidRPr="00C40BF2">
        <w:rPr>
          <w:rFonts w:ascii="Times New Roman" w:hAnsi="Times New Roman"/>
          <w:iCs/>
          <w:sz w:val="20"/>
        </w:rPr>
        <w:t xml:space="preserve"> Ta część obejmuje kontekstową analizę wyrażenia „królestwo Boże” występującego w Mk 1 i Mk 4.</w:t>
      </w:r>
    </w:p>
    <w:p w14:paraId="0839E96D" w14:textId="77777777" w:rsidR="00990B8A" w:rsidRPr="00C40BF2" w:rsidRDefault="00990B8A" w:rsidP="00990B8A">
      <w:pPr>
        <w:rPr>
          <w:rFonts w:ascii="Times New Roman" w:hAnsi="Times New Roman"/>
          <w:iCs/>
          <w:sz w:val="20"/>
        </w:rPr>
      </w:pPr>
    </w:p>
    <w:p w14:paraId="30BC9D97" w14:textId="77777777" w:rsidR="00990B8A" w:rsidRDefault="00990B8A" w:rsidP="00990B8A">
      <w:pPr>
        <w:rPr>
          <w:rFonts w:ascii="Times New Roman" w:hAnsi="Times New Roman"/>
          <w:b/>
          <w:bCs/>
          <w:sz w:val="20"/>
        </w:rPr>
      </w:pPr>
      <w:r w:rsidRPr="00C40BF2">
        <w:rPr>
          <w:rFonts w:ascii="Times New Roman" w:hAnsi="Times New Roman"/>
          <w:b/>
          <w:bCs/>
          <w:sz w:val="20"/>
        </w:rPr>
        <w:t>Część II: Komentarz</w:t>
      </w:r>
    </w:p>
    <w:p w14:paraId="5B6C5961" w14:textId="77777777" w:rsidR="000D0A12" w:rsidRPr="00C40BF2" w:rsidRDefault="000D0A12" w:rsidP="00990B8A">
      <w:pPr>
        <w:rPr>
          <w:rFonts w:ascii="Times New Roman" w:hAnsi="Times New Roman"/>
          <w:sz w:val="20"/>
        </w:rPr>
      </w:pPr>
    </w:p>
    <w:p w14:paraId="4EF67D06" w14:textId="220AFFC5" w:rsidR="00990B8A" w:rsidRPr="00C40BF2" w:rsidRDefault="00990B8A" w:rsidP="00990B8A">
      <w:pPr>
        <w:rPr>
          <w:rFonts w:ascii="Times New Roman" w:hAnsi="Times New Roman"/>
          <w:iCs/>
          <w:sz w:val="20"/>
        </w:rPr>
      </w:pPr>
      <w:r w:rsidRPr="00C40BF2">
        <w:rPr>
          <w:rFonts w:ascii="Times New Roman" w:hAnsi="Times New Roman"/>
          <w:iCs/>
          <w:sz w:val="20"/>
        </w:rPr>
        <w:t xml:space="preserve">Pojęcie królestwa Bożego jest wyraźnie podkreślane od początku </w:t>
      </w:r>
      <w:r w:rsidRPr="00C40BF2">
        <w:rPr>
          <w:rFonts w:ascii="Times New Roman" w:hAnsi="Times New Roman"/>
          <w:i/>
          <w:sz w:val="20"/>
        </w:rPr>
        <w:t>Ewangelii Marka</w:t>
      </w:r>
      <w:r w:rsidRPr="00C40BF2">
        <w:rPr>
          <w:rFonts w:ascii="Times New Roman" w:hAnsi="Times New Roman"/>
          <w:iCs/>
          <w:sz w:val="20"/>
        </w:rPr>
        <w:t>. W Mk 1,15 czytamy: „</w:t>
      </w:r>
      <w:r w:rsidRPr="00C40BF2">
        <w:rPr>
          <w:rFonts w:ascii="Times New Roman" w:hAnsi="Times New Roman"/>
          <w:color w:val="000000"/>
          <w:sz w:val="20"/>
        </w:rPr>
        <w:t>Wypełnił się czas i przybliżyło się Królestwo Boże</w:t>
      </w:r>
      <w:r w:rsidRPr="00C40BF2">
        <w:rPr>
          <w:rFonts w:ascii="Times New Roman" w:hAnsi="Times New Roman"/>
          <w:iCs/>
          <w:sz w:val="20"/>
        </w:rPr>
        <w:t>”. Inne nawiązania do królestwa Bożego występują w</w:t>
      </w:r>
      <w:r w:rsidR="000D0A12">
        <w:rPr>
          <w:rFonts w:ascii="Times New Roman" w:hAnsi="Times New Roman"/>
          <w:iCs/>
          <w:sz w:val="20"/>
        </w:rPr>
        <w:t> </w:t>
      </w:r>
      <w:r w:rsidRPr="00C40BF2">
        <w:rPr>
          <w:rFonts w:ascii="Times New Roman" w:hAnsi="Times New Roman"/>
          <w:sz w:val="20"/>
        </w:rPr>
        <w:t>Mk 4,11.26.30; 9,1.47; 10,14-15.23-25; 12,34; 14,25</w:t>
      </w:r>
      <w:r w:rsidRPr="00C40BF2">
        <w:rPr>
          <w:rFonts w:ascii="Times New Roman" w:hAnsi="Times New Roman"/>
          <w:iCs/>
          <w:sz w:val="20"/>
        </w:rPr>
        <w:t xml:space="preserve">. Tak więc temat królestwa Bożego przewija się w </w:t>
      </w:r>
      <w:r w:rsidRPr="00C40BF2">
        <w:rPr>
          <w:rFonts w:ascii="Times New Roman" w:hAnsi="Times New Roman"/>
          <w:i/>
          <w:sz w:val="20"/>
        </w:rPr>
        <w:t>Ewangelii Marka</w:t>
      </w:r>
      <w:r w:rsidRPr="00C40BF2">
        <w:rPr>
          <w:rFonts w:ascii="Times New Roman" w:hAnsi="Times New Roman"/>
          <w:iCs/>
          <w:sz w:val="20"/>
        </w:rPr>
        <w:t>.</w:t>
      </w:r>
    </w:p>
    <w:p w14:paraId="612740D8" w14:textId="77777777" w:rsidR="00990B8A" w:rsidRPr="00C40BF2" w:rsidRDefault="00990B8A" w:rsidP="00990B8A">
      <w:pPr>
        <w:rPr>
          <w:rFonts w:ascii="Times New Roman" w:hAnsi="Times New Roman"/>
          <w:iCs/>
          <w:sz w:val="20"/>
        </w:rPr>
      </w:pPr>
    </w:p>
    <w:p w14:paraId="39EF8D5D" w14:textId="77777777" w:rsidR="00990B8A" w:rsidRPr="00C40BF2" w:rsidRDefault="00990B8A" w:rsidP="00990B8A">
      <w:pPr>
        <w:rPr>
          <w:rFonts w:ascii="Times New Roman" w:hAnsi="Times New Roman"/>
          <w:b/>
          <w:iCs/>
          <w:sz w:val="20"/>
        </w:rPr>
      </w:pPr>
      <w:r w:rsidRPr="00C40BF2">
        <w:rPr>
          <w:rFonts w:ascii="Times New Roman" w:hAnsi="Times New Roman"/>
          <w:b/>
          <w:bCs/>
          <w:iCs/>
          <w:sz w:val="20"/>
        </w:rPr>
        <w:t xml:space="preserve">Nawiązanie do wyrażenia „królestwo Boże” w </w:t>
      </w:r>
      <w:r w:rsidRPr="00C40BF2">
        <w:rPr>
          <w:rFonts w:ascii="Times New Roman" w:hAnsi="Times New Roman"/>
          <w:b/>
          <w:bCs/>
          <w:i/>
          <w:sz w:val="20"/>
        </w:rPr>
        <w:t>Księdze Daniela</w:t>
      </w:r>
    </w:p>
    <w:p w14:paraId="360EFC08" w14:textId="77777777" w:rsidR="00990B8A" w:rsidRPr="00C40BF2" w:rsidRDefault="00990B8A" w:rsidP="00990B8A">
      <w:pPr>
        <w:rPr>
          <w:rFonts w:ascii="Times New Roman" w:hAnsi="Times New Roman"/>
          <w:color w:val="000000"/>
          <w:sz w:val="20"/>
        </w:rPr>
      </w:pPr>
      <w:r w:rsidRPr="00C40BF2">
        <w:rPr>
          <w:rFonts w:ascii="Times New Roman" w:hAnsi="Times New Roman"/>
          <w:color w:val="000000"/>
          <w:sz w:val="20"/>
        </w:rPr>
        <w:t xml:space="preserve">Wizja Dn 7 wprost ukazuje temat królestwa Bożego. Według Dn 7,13-14 Syn Człowieczy otrzymuje królestwo (panowanie), które - w przeciwieństwie do ziemskich królestw przedstawionych na początku rozdziału - jest „niezniszczalne” (w. 14). Ta niebiańska wizja ukazuje Syna Człowieczego i Jego królestwo. Ponadto jest ona powiązana z ziemską sceną, w której „mały róg” panuje na Ziemi, a zwłaszcza rości sobie pretensje do panowania nad świętymi Najwyższego. Potem Syn Człowieczy przychodzi do Sędziwego na sąd. W Dn 7,26 czytamy: „Potem odbędzie się sąd i pozbawią go władzy”. Moc prześladująca świętych zostanie pozbawiona swojej władzy. Ta scena w </w:t>
      </w:r>
      <w:r w:rsidRPr="00C40BF2">
        <w:rPr>
          <w:rFonts w:ascii="Times New Roman" w:hAnsi="Times New Roman"/>
          <w:i/>
          <w:iCs/>
          <w:color w:val="000000"/>
          <w:sz w:val="20"/>
        </w:rPr>
        <w:t>Księdze</w:t>
      </w:r>
      <w:r w:rsidRPr="00C40BF2">
        <w:rPr>
          <w:rFonts w:ascii="Times New Roman" w:hAnsi="Times New Roman"/>
          <w:color w:val="000000"/>
          <w:sz w:val="20"/>
        </w:rPr>
        <w:t xml:space="preserve"> </w:t>
      </w:r>
      <w:r w:rsidRPr="00C40BF2">
        <w:rPr>
          <w:rFonts w:ascii="Times New Roman" w:hAnsi="Times New Roman"/>
          <w:i/>
          <w:iCs/>
          <w:color w:val="000000"/>
          <w:sz w:val="20"/>
        </w:rPr>
        <w:t>Daniela</w:t>
      </w:r>
      <w:r w:rsidRPr="00C40BF2">
        <w:rPr>
          <w:rFonts w:ascii="Times New Roman" w:hAnsi="Times New Roman"/>
          <w:color w:val="000000"/>
          <w:sz w:val="20"/>
        </w:rPr>
        <w:t xml:space="preserve"> ukazuje zwrotny punkt w dziejach planu zbawienia - przedstawia oczyszczenie z zarzutów ludu Bożego i koniec władzy małego rogu. Wtedy „Królestwo, władza i moc nad wszystkimi królestwami pod całym niebem będą przekazane ludowi Świętych Najwyższego. Jego królestwo jest królestwem wiecznym, a wszystkie moce jemu będą służyć i jemu będą poddane” </w:t>
      </w:r>
      <w:r w:rsidRPr="00C40BF2">
        <w:rPr>
          <w:rFonts w:ascii="Times New Roman" w:hAnsi="Times New Roman"/>
          <w:iCs/>
          <w:sz w:val="20"/>
        </w:rPr>
        <w:t>(Dn 7,27)</w:t>
      </w:r>
      <w:r w:rsidRPr="00C40BF2">
        <w:rPr>
          <w:rFonts w:ascii="Times New Roman" w:hAnsi="Times New Roman"/>
          <w:color w:val="000000"/>
          <w:sz w:val="20"/>
        </w:rPr>
        <w:t>.</w:t>
      </w:r>
    </w:p>
    <w:p w14:paraId="77E7912D" w14:textId="77777777" w:rsidR="00990B8A" w:rsidRPr="00C40BF2" w:rsidRDefault="00990B8A" w:rsidP="00990B8A">
      <w:pPr>
        <w:rPr>
          <w:rFonts w:ascii="Times New Roman" w:hAnsi="Times New Roman"/>
          <w:color w:val="000000"/>
          <w:sz w:val="20"/>
        </w:rPr>
      </w:pPr>
      <w:r w:rsidRPr="00C40BF2">
        <w:rPr>
          <w:rFonts w:ascii="Times New Roman" w:hAnsi="Times New Roman"/>
          <w:color w:val="000000"/>
          <w:sz w:val="20"/>
        </w:rPr>
        <w:t>Rozważmy, co wynika z tych ważnych przyszłych wydarzeń. Po pierwsze, mały róg utraci swoją władzę nad świętymi. Po drugie, sąd oznacza oczyszczenie z zarzutów ludu Bożego, świętych. Królestwo Boże nie jest oderwane od Ziemi, ograniczone jedynie do niebiańskiej sfery. Królestwo Boże obejmuje także świętych na Ziemi - innymi słowy, jest królestwem ludu Bożego.</w:t>
      </w:r>
    </w:p>
    <w:p w14:paraId="09B95620" w14:textId="77777777" w:rsidR="00990B8A" w:rsidRPr="00C40BF2" w:rsidRDefault="00990B8A" w:rsidP="00990B8A">
      <w:pPr>
        <w:rPr>
          <w:rFonts w:ascii="Times New Roman" w:hAnsi="Times New Roman"/>
          <w:color w:val="000000"/>
          <w:sz w:val="20"/>
        </w:rPr>
      </w:pPr>
      <w:r w:rsidRPr="00C40BF2">
        <w:rPr>
          <w:rFonts w:ascii="Times New Roman" w:hAnsi="Times New Roman"/>
          <w:color w:val="000000"/>
          <w:sz w:val="20"/>
        </w:rPr>
        <w:t xml:space="preserve">Nasuwa się pytanie: Jak królestwo Boże może się stać realne dla ludzi takich jak Daniel, Marek i my? Daniel pomaga nam odpowiedzieć na to pytanie rozjaśniając nasze zrozumienie zasadniczego aspektu ostatecznego ustanowienia królestwa Bożego. Ten zasadniczy aspekt to interwencja Pomazańca Księcia </w:t>
      </w:r>
      <w:r w:rsidRPr="00C40BF2">
        <w:rPr>
          <w:rFonts w:ascii="Times New Roman" w:hAnsi="Times New Roman"/>
          <w:iCs/>
          <w:sz w:val="20"/>
        </w:rPr>
        <w:t>(Dn 9,25)</w:t>
      </w:r>
      <w:r w:rsidRPr="00C40BF2">
        <w:rPr>
          <w:rFonts w:ascii="Times New Roman" w:hAnsi="Times New Roman"/>
          <w:color w:val="000000"/>
          <w:sz w:val="20"/>
        </w:rPr>
        <w:t xml:space="preserve">. Daniel napisał, że pod koniec okresu przedstawionego jako siedemdziesiąt proroczych tygodni „Pomazaniec będzie zabity” </w:t>
      </w:r>
      <w:r w:rsidRPr="00C40BF2">
        <w:rPr>
          <w:rFonts w:ascii="Times New Roman" w:hAnsi="Times New Roman"/>
          <w:iCs/>
          <w:sz w:val="20"/>
        </w:rPr>
        <w:t>(Dn 9,26)</w:t>
      </w:r>
      <w:r w:rsidRPr="00C40BF2">
        <w:rPr>
          <w:rFonts w:ascii="Times New Roman" w:hAnsi="Times New Roman"/>
          <w:color w:val="000000"/>
          <w:sz w:val="20"/>
        </w:rPr>
        <w:t xml:space="preserve">. „I zawrze ścisłe przymierze z wieloma na jeden tydzień, w połowie tygodnia zniesie ofiary krwawe i z pokarmów” </w:t>
      </w:r>
      <w:r w:rsidRPr="00C40BF2">
        <w:rPr>
          <w:rFonts w:ascii="Times New Roman" w:hAnsi="Times New Roman"/>
          <w:iCs/>
          <w:sz w:val="20"/>
        </w:rPr>
        <w:t>(Dn 9,27)</w:t>
      </w:r>
      <w:r w:rsidRPr="00C40BF2">
        <w:rPr>
          <w:rFonts w:ascii="Times New Roman" w:hAnsi="Times New Roman"/>
          <w:color w:val="000000"/>
          <w:sz w:val="20"/>
        </w:rPr>
        <w:t xml:space="preserve">. Jezus położył kres systemowi ofiarniczemu, gdyż sam został ofiarowany jako prawdziwa Ofiara za grzechy ludzi. Lud Boży - poddani królestwa Bożego - został nabyty za cenę krwi Mesjasza </w:t>
      </w:r>
      <w:r w:rsidRPr="00C40BF2">
        <w:rPr>
          <w:rFonts w:ascii="Times New Roman" w:hAnsi="Times New Roman"/>
          <w:iCs/>
          <w:sz w:val="20"/>
        </w:rPr>
        <w:t>(1 P 1,18-19)</w:t>
      </w:r>
      <w:r w:rsidRPr="00C40BF2">
        <w:rPr>
          <w:rFonts w:ascii="Times New Roman" w:hAnsi="Times New Roman"/>
          <w:color w:val="000000"/>
          <w:sz w:val="20"/>
        </w:rPr>
        <w:t xml:space="preserve">. Piotr dodaje także ważny punkt na Bożej linii czasu, kiedy mówi o Jezusie: „Wprawdzie był On na to przeznaczony już przed założeniem świata, ale objawiony został dopiero w czasach ostatnich ze względu na was” </w:t>
      </w:r>
      <w:r w:rsidRPr="00C40BF2">
        <w:rPr>
          <w:rFonts w:ascii="Times New Roman" w:hAnsi="Times New Roman"/>
          <w:iCs/>
          <w:sz w:val="20"/>
        </w:rPr>
        <w:t>(1 P 1,20)</w:t>
      </w:r>
      <w:r w:rsidRPr="00C40BF2">
        <w:rPr>
          <w:rFonts w:ascii="Times New Roman" w:hAnsi="Times New Roman"/>
          <w:color w:val="000000"/>
          <w:sz w:val="20"/>
        </w:rPr>
        <w:t>. Wyrażenie „objawiony został w czasach ostatnich” daje nam cenną wskazówkę pozwalającą zrozumieć Mk 1,15. Przyjrzymy się temu wersetowi w kolejnej części lekcji.</w:t>
      </w:r>
    </w:p>
    <w:p w14:paraId="2629B6F5" w14:textId="77777777" w:rsidR="00990B8A" w:rsidRPr="00C40BF2" w:rsidRDefault="00990B8A" w:rsidP="00990B8A">
      <w:pPr>
        <w:rPr>
          <w:rFonts w:ascii="Times New Roman" w:hAnsi="Times New Roman"/>
          <w:color w:val="000000"/>
          <w:sz w:val="20"/>
        </w:rPr>
      </w:pPr>
    </w:p>
    <w:p w14:paraId="295CAAB9" w14:textId="77777777" w:rsidR="00990B8A" w:rsidRPr="00C40BF2" w:rsidRDefault="00990B8A" w:rsidP="00990B8A">
      <w:pPr>
        <w:rPr>
          <w:rFonts w:ascii="Times New Roman" w:hAnsi="Times New Roman"/>
          <w:color w:val="000000"/>
          <w:sz w:val="20"/>
        </w:rPr>
      </w:pPr>
      <w:r w:rsidRPr="00C40BF2">
        <w:rPr>
          <w:rFonts w:ascii="Times New Roman" w:hAnsi="Times New Roman"/>
          <w:b/>
          <w:bCs/>
          <w:iCs/>
          <w:sz w:val="20"/>
        </w:rPr>
        <w:t xml:space="preserve">Królestwo Boże w </w:t>
      </w:r>
      <w:r w:rsidRPr="00C40BF2">
        <w:rPr>
          <w:rFonts w:ascii="Times New Roman" w:hAnsi="Times New Roman"/>
          <w:b/>
          <w:bCs/>
          <w:i/>
          <w:sz w:val="20"/>
        </w:rPr>
        <w:t>Ewangelii Marka</w:t>
      </w:r>
    </w:p>
    <w:p w14:paraId="630E4D40" w14:textId="77777777" w:rsidR="00990B8A" w:rsidRPr="00C40BF2" w:rsidRDefault="00990B8A" w:rsidP="00990B8A">
      <w:pPr>
        <w:rPr>
          <w:rFonts w:ascii="Times New Roman" w:hAnsi="Times New Roman"/>
          <w:color w:val="000000"/>
          <w:sz w:val="20"/>
        </w:rPr>
      </w:pPr>
      <w:r w:rsidRPr="00C40BF2">
        <w:rPr>
          <w:rFonts w:ascii="Times New Roman" w:hAnsi="Times New Roman"/>
          <w:color w:val="000000"/>
          <w:sz w:val="20"/>
        </w:rPr>
        <w:t xml:space="preserve">W Mk 1,14-15 czytamy: „Przyszedł Jezus do Galilei, głosząc ewangelię Bożą i mówiąc: Wypełnił się czas i przybliżyło się Królestwo Boże”. Wersety te zmuszają nas do zwrócenia uwagi na szereg ważnych elementów. </w:t>
      </w:r>
      <w:r w:rsidRPr="00C40BF2">
        <w:rPr>
          <w:rFonts w:ascii="Times New Roman" w:hAnsi="Times New Roman"/>
          <w:color w:val="000000"/>
          <w:sz w:val="20"/>
        </w:rPr>
        <w:lastRenderedPageBreak/>
        <w:t>Po pierwsze, sednem przesłania Jezusa było królestwo Boże. Królestwo Boże jest wprost wymienione w Mt 4,23: „I obchodził Jezus całą Galileę (...) głosząc ewangelię o Królestwie”. Po drugie, treść Jego przesłania miała ukierunkowanie eschatologiczne - „wypełnił się czas”. O jakim czasie mówił Jezus? Musiał to być czas symbolizowany przez ostatni tydzień z proroctwa o siedemdziesięciu tygodniach w Dn 9.</w:t>
      </w:r>
    </w:p>
    <w:p w14:paraId="36B68C7B" w14:textId="77777777" w:rsidR="00990B8A" w:rsidRPr="00C40BF2" w:rsidRDefault="00990B8A" w:rsidP="00990B8A">
      <w:pPr>
        <w:rPr>
          <w:rFonts w:ascii="Times New Roman" w:hAnsi="Times New Roman"/>
          <w:color w:val="000000"/>
          <w:sz w:val="20"/>
          <w:lang w:val="en-US"/>
        </w:rPr>
      </w:pPr>
      <w:r w:rsidRPr="00C40BF2">
        <w:rPr>
          <w:rFonts w:ascii="Times New Roman" w:hAnsi="Times New Roman"/>
          <w:color w:val="000000"/>
          <w:sz w:val="20"/>
        </w:rPr>
        <w:t xml:space="preserve">W Mk 1 autor nie definiuje wprost, czym jest królestwo Boże, ale zamiast tego w Mk 4 i kolejnych rozdziałach oferuje cenne wskazówki co do natury tego królestwa. Ponadto Marek przedstawia królestwo Boże w proroczych ramach czasowych. Dlatego </w:t>
      </w:r>
      <w:r w:rsidRPr="00C40BF2">
        <w:rPr>
          <w:rFonts w:ascii="Times New Roman" w:hAnsi="Times New Roman"/>
          <w:i/>
          <w:iCs/>
          <w:color w:val="000000"/>
          <w:sz w:val="20"/>
        </w:rPr>
        <w:t>Ewangelia Marka</w:t>
      </w:r>
      <w:r w:rsidRPr="00C40BF2">
        <w:rPr>
          <w:rFonts w:ascii="Times New Roman" w:hAnsi="Times New Roman"/>
          <w:color w:val="000000"/>
          <w:sz w:val="20"/>
        </w:rPr>
        <w:t xml:space="preserve"> bywa nazywana „ewangelią wypełnionego czasu” (zob. </w:t>
      </w:r>
      <w:r w:rsidRPr="00C40BF2">
        <w:rPr>
          <w:rFonts w:ascii="Times New Roman" w:hAnsi="Times New Roman"/>
          <w:i/>
          <w:iCs/>
          <w:sz w:val="20"/>
          <w:lang w:val="en-US"/>
        </w:rPr>
        <w:t>Mark: The Evangelist of Fulfilled Time</w:t>
      </w:r>
      <w:r w:rsidRPr="00C40BF2">
        <w:rPr>
          <w:rFonts w:ascii="Times New Roman" w:hAnsi="Times New Roman"/>
          <w:sz w:val="20"/>
          <w:lang w:val="en-US"/>
        </w:rPr>
        <w:t>,</w:t>
      </w:r>
      <w:r w:rsidRPr="00C40BF2">
        <w:rPr>
          <w:rFonts w:ascii="Times New Roman" w:hAnsi="Times New Roman"/>
          <w:i/>
          <w:iCs/>
          <w:sz w:val="20"/>
          <w:lang w:val="en-US"/>
        </w:rPr>
        <w:t xml:space="preserve"> </w:t>
      </w:r>
      <w:r w:rsidRPr="00C40BF2">
        <w:rPr>
          <w:rFonts w:ascii="Times New Roman" w:hAnsi="Times New Roman"/>
          <w:sz w:val="20"/>
          <w:lang w:val="en-US"/>
        </w:rPr>
        <w:t>red., Merling Alomía, Joel Leiva, Juan Millanao,</w:t>
      </w:r>
      <w:r w:rsidRPr="00C40BF2">
        <w:rPr>
          <w:rFonts w:ascii="Times New Roman" w:hAnsi="Times New Roman"/>
          <w:i/>
          <w:iCs/>
          <w:sz w:val="20"/>
          <w:lang w:val="en-US"/>
        </w:rPr>
        <w:t xml:space="preserve"> </w:t>
      </w:r>
      <w:r w:rsidRPr="00C40BF2">
        <w:rPr>
          <w:rFonts w:ascii="Times New Roman" w:hAnsi="Times New Roman"/>
          <w:sz w:val="20"/>
          <w:lang w:val="en-US"/>
        </w:rPr>
        <w:t>Lima 2003</w:t>
      </w:r>
      <w:r w:rsidRPr="00C40BF2">
        <w:rPr>
          <w:rFonts w:ascii="Times New Roman" w:hAnsi="Times New Roman"/>
          <w:color w:val="000000"/>
          <w:sz w:val="20"/>
          <w:lang w:val="en-US"/>
        </w:rPr>
        <w:t>).</w:t>
      </w:r>
    </w:p>
    <w:p w14:paraId="14382AAB" w14:textId="120045B4" w:rsidR="00990B8A" w:rsidRPr="00C40BF2" w:rsidRDefault="00990B8A" w:rsidP="00990B8A">
      <w:pPr>
        <w:rPr>
          <w:rFonts w:ascii="Times New Roman" w:hAnsi="Times New Roman"/>
          <w:sz w:val="20"/>
          <w:lang w:val="en-US"/>
        </w:rPr>
      </w:pPr>
      <w:r w:rsidRPr="00C40BF2">
        <w:rPr>
          <w:rFonts w:ascii="Times New Roman" w:hAnsi="Times New Roman"/>
          <w:color w:val="000000"/>
          <w:sz w:val="20"/>
        </w:rPr>
        <w:t xml:space="preserve">Jak powinniśmy rozumieć wyrażenie „przybliżyło się Królestwo Boże”? Grecki oryginalny tekst daje nam pewne wskazówki. Mk 1,15 - „Wypełnił się czas i przybliżyło się Królestwo Boże” - brzmi w języku greckim: </w:t>
      </w:r>
      <w:r w:rsidRPr="00C40BF2">
        <w:rPr>
          <w:rFonts w:ascii="Times New Roman" w:hAnsi="Times New Roman"/>
          <w:i/>
          <w:sz w:val="20"/>
        </w:rPr>
        <w:t>peplērōtai ho kairos kai ēngiken hē basileia tou theou</w:t>
      </w:r>
      <w:r w:rsidRPr="00C40BF2">
        <w:rPr>
          <w:rFonts w:ascii="Times New Roman" w:hAnsi="Times New Roman"/>
          <w:sz w:val="20"/>
        </w:rPr>
        <w:t xml:space="preserve">. Spójnik </w:t>
      </w:r>
      <w:r w:rsidRPr="00C40BF2">
        <w:rPr>
          <w:rFonts w:ascii="Times New Roman" w:hAnsi="Times New Roman"/>
          <w:i/>
          <w:iCs/>
          <w:sz w:val="20"/>
        </w:rPr>
        <w:t>kai</w:t>
      </w:r>
      <w:r w:rsidRPr="00C40BF2">
        <w:rPr>
          <w:rFonts w:ascii="Times New Roman" w:hAnsi="Times New Roman"/>
          <w:sz w:val="20"/>
        </w:rPr>
        <w:t xml:space="preserve"> jest zazwyczaj postrzegany jako łącznik między dwoma słowami czy zdaniami. W takich przypadkach zazwyczaj bywa tłumaczony jako „i”. Jednak </w:t>
      </w:r>
      <w:r w:rsidRPr="00C40BF2">
        <w:rPr>
          <w:rFonts w:ascii="Times New Roman" w:hAnsi="Times New Roman"/>
          <w:i/>
          <w:iCs/>
          <w:sz w:val="20"/>
        </w:rPr>
        <w:t>kai</w:t>
      </w:r>
      <w:r w:rsidRPr="00C40BF2">
        <w:rPr>
          <w:rFonts w:ascii="Times New Roman" w:hAnsi="Times New Roman"/>
          <w:sz w:val="20"/>
        </w:rPr>
        <w:t xml:space="preserve"> może również pełnić rolę partykuły eksplikatywnej (objaśniającej), czyli </w:t>
      </w:r>
      <w:r w:rsidRPr="00C40BF2">
        <w:rPr>
          <w:rFonts w:ascii="Times New Roman" w:hAnsi="Times New Roman"/>
          <w:i/>
          <w:iCs/>
          <w:sz w:val="20"/>
        </w:rPr>
        <w:t>kai</w:t>
      </w:r>
      <w:r w:rsidRPr="00C40BF2">
        <w:rPr>
          <w:rFonts w:ascii="Times New Roman" w:hAnsi="Times New Roman"/>
          <w:iCs/>
          <w:sz w:val="20"/>
        </w:rPr>
        <w:t xml:space="preserve"> epegzegetycznego</w:t>
      </w:r>
      <w:r w:rsidRPr="00C40BF2">
        <w:rPr>
          <w:rFonts w:ascii="Times New Roman" w:hAnsi="Times New Roman"/>
          <w:sz w:val="20"/>
        </w:rPr>
        <w:t xml:space="preserve">. To znaczy, że „słowo lub zdanie jest połączone za pomocą </w:t>
      </w:r>
      <w:r w:rsidRPr="00C40BF2">
        <w:rPr>
          <w:rFonts w:ascii="Times New Roman" w:hAnsi="Times New Roman"/>
          <w:i/>
          <w:sz w:val="20"/>
        </w:rPr>
        <w:t>καί</w:t>
      </w:r>
      <w:r w:rsidRPr="00C40BF2">
        <w:rPr>
          <w:rFonts w:ascii="Times New Roman" w:hAnsi="Times New Roman"/>
          <w:sz w:val="20"/>
        </w:rPr>
        <w:t xml:space="preserve"> z innym słowem czy zdaniem w celu wyjaśnienia tego, co następuje przed nim. Dlatego </w:t>
      </w:r>
      <w:r w:rsidRPr="00C40BF2">
        <w:rPr>
          <w:rFonts w:ascii="Times New Roman" w:hAnsi="Times New Roman"/>
          <w:i/>
          <w:iCs/>
          <w:sz w:val="20"/>
        </w:rPr>
        <w:t>kai</w:t>
      </w:r>
      <w:r w:rsidRPr="00C40BF2">
        <w:rPr>
          <w:rFonts w:ascii="Times New Roman" w:hAnsi="Times New Roman"/>
          <w:sz w:val="20"/>
        </w:rPr>
        <w:t xml:space="preserve"> może być przetłumaczone jako »to jest«, »to znaczy«, »mianowicie«” (zob. </w:t>
      </w:r>
      <w:r w:rsidRPr="00C40BF2">
        <w:rPr>
          <w:rFonts w:ascii="Times New Roman" w:hAnsi="Times New Roman"/>
          <w:sz w:val="20"/>
          <w:lang w:val="en-US"/>
        </w:rPr>
        <w:t xml:space="preserve">Danker, i in., </w:t>
      </w:r>
      <w:r w:rsidRPr="00C40BF2">
        <w:rPr>
          <w:rFonts w:ascii="Times New Roman" w:hAnsi="Times New Roman"/>
          <w:i/>
          <w:iCs/>
          <w:sz w:val="20"/>
          <w:lang w:val="en-US"/>
        </w:rPr>
        <w:t>A</w:t>
      </w:r>
      <w:r w:rsidR="001B0A86">
        <w:rPr>
          <w:rFonts w:ascii="Times New Roman" w:hAnsi="Times New Roman"/>
          <w:i/>
          <w:iCs/>
          <w:sz w:val="20"/>
          <w:lang w:val="en-US"/>
        </w:rPr>
        <w:t> </w:t>
      </w:r>
      <w:r w:rsidRPr="00C40BF2">
        <w:rPr>
          <w:rFonts w:ascii="Times New Roman" w:hAnsi="Times New Roman"/>
          <w:i/>
          <w:iCs/>
          <w:sz w:val="20"/>
          <w:lang w:val="en-US"/>
        </w:rPr>
        <w:t>Greek-English Lexicon of the New Testament and Other Early Christian Literature</w:t>
      </w:r>
      <w:r w:rsidRPr="00C40BF2">
        <w:rPr>
          <w:rFonts w:ascii="Times New Roman" w:hAnsi="Times New Roman"/>
          <w:sz w:val="20"/>
          <w:lang w:val="en-US"/>
        </w:rPr>
        <w:t>, s. 495).</w:t>
      </w:r>
    </w:p>
    <w:p w14:paraId="49C9AFBF" w14:textId="77777777" w:rsidR="00990B8A" w:rsidRPr="00C40BF2" w:rsidRDefault="00990B8A" w:rsidP="00990B8A">
      <w:pPr>
        <w:rPr>
          <w:rFonts w:ascii="Times New Roman" w:hAnsi="Times New Roman"/>
          <w:sz w:val="20"/>
        </w:rPr>
      </w:pPr>
      <w:r w:rsidRPr="00C40BF2">
        <w:rPr>
          <w:rFonts w:ascii="Times New Roman" w:hAnsi="Times New Roman"/>
          <w:sz w:val="20"/>
        </w:rPr>
        <w:t xml:space="preserve">Zatem jeśli </w:t>
      </w:r>
      <w:r w:rsidRPr="00C40BF2">
        <w:rPr>
          <w:rFonts w:ascii="Times New Roman" w:hAnsi="Times New Roman"/>
          <w:i/>
          <w:iCs/>
          <w:sz w:val="20"/>
        </w:rPr>
        <w:t>kai</w:t>
      </w:r>
      <w:r w:rsidRPr="00C40BF2">
        <w:rPr>
          <w:rFonts w:ascii="Times New Roman" w:hAnsi="Times New Roman"/>
          <w:sz w:val="20"/>
        </w:rPr>
        <w:t xml:space="preserve"> w Mk 1,15 jest użyte w znaczeniu epegzegetycznym, całe zdanie mogłoby brzmieć: „Wypełnił się czas, to znaczy przybliżyło się Królestwo Boże”.</w:t>
      </w:r>
    </w:p>
    <w:p w14:paraId="5968131E" w14:textId="2C779D20" w:rsidR="00990B8A" w:rsidRPr="00C40BF2" w:rsidRDefault="00990B8A" w:rsidP="00990B8A">
      <w:pPr>
        <w:rPr>
          <w:rFonts w:ascii="Times New Roman" w:hAnsi="Times New Roman"/>
          <w:sz w:val="20"/>
        </w:rPr>
      </w:pPr>
      <w:r w:rsidRPr="00C40BF2">
        <w:rPr>
          <w:rFonts w:ascii="Times New Roman" w:hAnsi="Times New Roman"/>
          <w:sz w:val="20"/>
        </w:rPr>
        <w:t xml:space="preserve">Innymi słowy, nadejście królestwa Bożego oznacza wypełnienie czasu, o którym jest mowa w </w:t>
      </w:r>
      <w:r w:rsidRPr="00C40BF2">
        <w:rPr>
          <w:rFonts w:ascii="Times New Roman" w:hAnsi="Times New Roman"/>
          <w:i/>
          <w:iCs/>
          <w:sz w:val="20"/>
        </w:rPr>
        <w:t>Księdze Daniela</w:t>
      </w:r>
      <w:r w:rsidRPr="00C40BF2">
        <w:rPr>
          <w:rFonts w:ascii="Times New Roman" w:hAnsi="Times New Roman"/>
          <w:sz w:val="20"/>
        </w:rPr>
        <w:t>. W tym przypadku Jezus Chrystus uosabia królestwo Boże, a taka interpretacja jest zgodna z</w:t>
      </w:r>
      <w:r w:rsidR="001B0A86">
        <w:rPr>
          <w:rFonts w:ascii="Times New Roman" w:hAnsi="Times New Roman"/>
          <w:sz w:val="20"/>
        </w:rPr>
        <w:t> </w:t>
      </w:r>
      <w:r w:rsidRPr="00C40BF2">
        <w:rPr>
          <w:rFonts w:ascii="Times New Roman" w:hAnsi="Times New Roman"/>
          <w:sz w:val="20"/>
        </w:rPr>
        <w:t>pragmatycznym punktem widzenia Marka. W Mk 1 królestwo Boże jest królestwem Jezusa Chrystusa, który przyszedł zgodnie z Bożą proroczą agendą, by głosić dobrą nowinę o królestwie Bożym. Tak więc królestwo Boże oznacza odkupienie i odrodzenie ludzkości. Jezus został zapytany przez faryzeuszy, kiedy nadejdzie królestwo Boże, i odpowiedział: „</w:t>
      </w:r>
      <w:r w:rsidRPr="00C40BF2">
        <w:rPr>
          <w:rFonts w:ascii="Times New Roman" w:hAnsi="Times New Roman"/>
          <w:color w:val="000000"/>
          <w:sz w:val="20"/>
        </w:rPr>
        <w:t>Oto (...) Królestwo Boże jest pośród was</w:t>
      </w:r>
      <w:r w:rsidRPr="00C40BF2">
        <w:rPr>
          <w:rFonts w:ascii="Times New Roman" w:hAnsi="Times New Roman"/>
          <w:sz w:val="20"/>
        </w:rPr>
        <w:t xml:space="preserve">” </w:t>
      </w:r>
      <w:r w:rsidRPr="00C40BF2">
        <w:rPr>
          <w:rFonts w:ascii="Times New Roman" w:hAnsi="Times New Roman"/>
          <w:iCs/>
          <w:sz w:val="20"/>
        </w:rPr>
        <w:t>(Łk 17,21)</w:t>
      </w:r>
      <w:r w:rsidRPr="00C40BF2">
        <w:rPr>
          <w:rFonts w:ascii="Times New Roman" w:hAnsi="Times New Roman"/>
          <w:sz w:val="20"/>
        </w:rPr>
        <w:t>. Paweł także potwierdził tę perspektywę, kiedy napisał: „G</w:t>
      </w:r>
      <w:r w:rsidRPr="00C40BF2">
        <w:rPr>
          <w:rFonts w:ascii="Times New Roman" w:hAnsi="Times New Roman"/>
          <w:color w:val="000000"/>
          <w:sz w:val="20"/>
        </w:rPr>
        <w:t>dy nadeszło wypełnienie czasu, zesłał Bóg Syna swego, (...) aby wykupił tych, którzy byli pod zakonem, abyśmy usynowienia dostąpili</w:t>
      </w:r>
      <w:r w:rsidRPr="00C40BF2">
        <w:rPr>
          <w:rFonts w:ascii="Times New Roman" w:hAnsi="Times New Roman"/>
          <w:sz w:val="20"/>
        </w:rPr>
        <w:t xml:space="preserve">” </w:t>
      </w:r>
      <w:r w:rsidRPr="00C40BF2">
        <w:rPr>
          <w:rFonts w:ascii="Times New Roman" w:hAnsi="Times New Roman"/>
          <w:iCs/>
          <w:sz w:val="20"/>
        </w:rPr>
        <w:t>(Ga 4,4-5)</w:t>
      </w:r>
      <w:r w:rsidRPr="00C40BF2">
        <w:rPr>
          <w:rFonts w:ascii="Times New Roman" w:hAnsi="Times New Roman"/>
          <w:sz w:val="20"/>
        </w:rPr>
        <w:t>.</w:t>
      </w:r>
    </w:p>
    <w:p w14:paraId="08B252D9" w14:textId="77777777" w:rsidR="00990B8A" w:rsidRPr="00C40BF2" w:rsidRDefault="00990B8A" w:rsidP="00990B8A">
      <w:pPr>
        <w:rPr>
          <w:rFonts w:ascii="Times New Roman" w:hAnsi="Times New Roman"/>
          <w:sz w:val="20"/>
        </w:rPr>
      </w:pPr>
      <w:r w:rsidRPr="00C40BF2">
        <w:rPr>
          <w:rFonts w:ascii="Times New Roman" w:hAnsi="Times New Roman"/>
          <w:sz w:val="20"/>
        </w:rPr>
        <w:t xml:space="preserve">Jezus wzywa swoich uczniów, by wierzyli w ewangelię - dobrą nowinę o królestwie - i nawracali się. Czasownik </w:t>
      </w:r>
      <w:r w:rsidRPr="00C40BF2">
        <w:rPr>
          <w:rFonts w:ascii="Times New Roman" w:hAnsi="Times New Roman"/>
          <w:i/>
          <w:iCs/>
          <w:sz w:val="20"/>
        </w:rPr>
        <w:t>metanoeō</w:t>
      </w:r>
      <w:r w:rsidRPr="00C40BF2">
        <w:rPr>
          <w:rFonts w:ascii="Times New Roman" w:hAnsi="Times New Roman"/>
          <w:sz w:val="20"/>
        </w:rPr>
        <w:t xml:space="preserve"> oznacza nie tylko „okazać skruchę”, ale także „nawracać się”, a doświadczenie to jest „warunkiem doświadczenia panowania Boga” (Danker, i in., </w:t>
      </w:r>
      <w:r w:rsidRPr="00C40BF2">
        <w:rPr>
          <w:rFonts w:ascii="Times New Roman" w:hAnsi="Times New Roman"/>
          <w:i/>
          <w:iCs/>
          <w:sz w:val="20"/>
        </w:rPr>
        <w:t>A Greek-English Lexicon of the New Testament and Other Early Christian Literature</w:t>
      </w:r>
      <w:r w:rsidRPr="00C40BF2">
        <w:rPr>
          <w:rFonts w:ascii="Times New Roman" w:hAnsi="Times New Roman"/>
          <w:sz w:val="20"/>
        </w:rPr>
        <w:t>, s. 640). Całe przesłanie Jezusa skupiało się w tym punkcie. Ludzie są wzywani do wiary i przyjęcia ewangelii królestwa. Taki był priorytet działalności Jezusa. Na przykład, Jezus powiedział uczniom: „</w:t>
      </w:r>
      <w:r w:rsidRPr="00C40BF2">
        <w:rPr>
          <w:rFonts w:ascii="Times New Roman" w:hAnsi="Times New Roman"/>
          <w:color w:val="000000"/>
          <w:sz w:val="20"/>
        </w:rPr>
        <w:t xml:space="preserve">Pójdźmy gdzie indziej, do pobliskich osiedli, abym i tam kazał, </w:t>
      </w:r>
      <w:r w:rsidRPr="00C40BF2">
        <w:rPr>
          <w:rFonts w:ascii="Times New Roman" w:hAnsi="Times New Roman"/>
          <w:i/>
          <w:color w:val="000000"/>
          <w:sz w:val="20"/>
        </w:rPr>
        <w:t>bo po to przyszedłem</w:t>
      </w:r>
      <w:r w:rsidRPr="00C40BF2">
        <w:rPr>
          <w:rFonts w:ascii="Times New Roman" w:hAnsi="Times New Roman"/>
          <w:sz w:val="20"/>
        </w:rPr>
        <w:t xml:space="preserve">” </w:t>
      </w:r>
      <w:r w:rsidRPr="00C40BF2">
        <w:rPr>
          <w:rFonts w:ascii="Times New Roman" w:hAnsi="Times New Roman"/>
          <w:iCs/>
          <w:sz w:val="20"/>
        </w:rPr>
        <w:t>(Mk 1,38)</w:t>
      </w:r>
      <w:r w:rsidRPr="00C40BF2">
        <w:rPr>
          <w:rFonts w:ascii="Times New Roman" w:hAnsi="Times New Roman"/>
          <w:sz w:val="20"/>
        </w:rPr>
        <w:t>.</w:t>
      </w:r>
    </w:p>
    <w:p w14:paraId="3C21065B" w14:textId="77777777" w:rsidR="00990B8A" w:rsidRPr="00C40BF2" w:rsidRDefault="00990B8A" w:rsidP="00990B8A">
      <w:pPr>
        <w:rPr>
          <w:rFonts w:ascii="Times New Roman" w:hAnsi="Times New Roman"/>
          <w:sz w:val="20"/>
        </w:rPr>
      </w:pPr>
      <w:r w:rsidRPr="00C40BF2">
        <w:rPr>
          <w:rFonts w:ascii="Times New Roman" w:hAnsi="Times New Roman"/>
          <w:sz w:val="20"/>
        </w:rPr>
        <w:t xml:space="preserve">Właśnie w takim kontekście powinniśmy czytać przypowieści Mk 4 i resztę </w:t>
      </w:r>
      <w:r w:rsidRPr="00C40BF2">
        <w:rPr>
          <w:rFonts w:ascii="Times New Roman" w:hAnsi="Times New Roman"/>
          <w:i/>
          <w:iCs/>
          <w:sz w:val="20"/>
        </w:rPr>
        <w:t>Ewangelii Marka</w:t>
      </w:r>
      <w:r w:rsidRPr="00C40BF2">
        <w:rPr>
          <w:rFonts w:ascii="Times New Roman" w:hAnsi="Times New Roman"/>
          <w:sz w:val="20"/>
        </w:rPr>
        <w:t>. To znaczy, że powinniśmy je czytać jako naświetlenie „</w:t>
      </w:r>
      <w:r w:rsidRPr="00C40BF2">
        <w:rPr>
          <w:rFonts w:ascii="Times New Roman" w:hAnsi="Times New Roman"/>
          <w:color w:val="000000"/>
          <w:sz w:val="20"/>
        </w:rPr>
        <w:t>tajemnicy Królestwa Bożego</w:t>
      </w:r>
      <w:r w:rsidRPr="00C40BF2">
        <w:rPr>
          <w:rFonts w:ascii="Times New Roman" w:hAnsi="Times New Roman"/>
          <w:sz w:val="20"/>
        </w:rPr>
        <w:t xml:space="preserve">” </w:t>
      </w:r>
      <w:r w:rsidRPr="00C40BF2">
        <w:rPr>
          <w:rFonts w:ascii="Times New Roman" w:hAnsi="Times New Roman"/>
          <w:iCs/>
          <w:sz w:val="20"/>
        </w:rPr>
        <w:t>(Mk 4,11)</w:t>
      </w:r>
      <w:r w:rsidRPr="00C40BF2">
        <w:rPr>
          <w:rFonts w:ascii="Times New Roman" w:hAnsi="Times New Roman"/>
          <w:sz w:val="20"/>
        </w:rPr>
        <w:t xml:space="preserve">. Grecki rzeczownik </w:t>
      </w:r>
      <w:r w:rsidRPr="00C40BF2">
        <w:rPr>
          <w:rFonts w:ascii="Times New Roman" w:hAnsi="Times New Roman"/>
          <w:i/>
          <w:iCs/>
          <w:sz w:val="20"/>
        </w:rPr>
        <w:t>mystērion</w:t>
      </w:r>
      <w:r w:rsidRPr="00C40BF2">
        <w:rPr>
          <w:rFonts w:ascii="Times New Roman" w:hAnsi="Times New Roman"/>
          <w:sz w:val="20"/>
        </w:rPr>
        <w:t xml:space="preserve"> wskazuje „treść tego, co nie było znane wcześniej, a zostało objawione wtajemniczonym, stosunkowo niewielkiej mniejszości - »sekret«” (Johannes P. Louw i Eugene Albert Nida, red., </w:t>
      </w:r>
      <w:r w:rsidRPr="00C40BF2">
        <w:rPr>
          <w:rFonts w:ascii="Times New Roman" w:hAnsi="Times New Roman"/>
          <w:i/>
          <w:iCs/>
          <w:sz w:val="20"/>
        </w:rPr>
        <w:t>Greek-English Lexicon of the New Testament: Based on Semantic Domains</w:t>
      </w:r>
      <w:r w:rsidRPr="00C40BF2">
        <w:rPr>
          <w:rFonts w:ascii="Times New Roman" w:hAnsi="Times New Roman"/>
          <w:sz w:val="20"/>
        </w:rPr>
        <w:t>, Nowy Jork 1989, s. 345). „</w:t>
      </w:r>
      <w:r w:rsidRPr="00C40BF2">
        <w:rPr>
          <w:rFonts w:ascii="Times New Roman" w:hAnsi="Times New Roman"/>
          <w:color w:val="000000"/>
          <w:sz w:val="20"/>
        </w:rPr>
        <w:t>Tajemnice Królestwa Niebios</w:t>
      </w:r>
      <w:r w:rsidRPr="00C40BF2">
        <w:rPr>
          <w:rFonts w:ascii="Times New Roman" w:hAnsi="Times New Roman"/>
          <w:sz w:val="20"/>
        </w:rPr>
        <w:t xml:space="preserve">” zostały odkryte wraz z przyjściem Jezusa </w:t>
      </w:r>
      <w:r w:rsidRPr="00C40BF2">
        <w:rPr>
          <w:rFonts w:ascii="Times New Roman" w:hAnsi="Times New Roman"/>
          <w:iCs/>
          <w:sz w:val="20"/>
        </w:rPr>
        <w:t>(Mt 13,11)</w:t>
      </w:r>
      <w:r w:rsidRPr="00C40BF2">
        <w:rPr>
          <w:rFonts w:ascii="Times New Roman" w:hAnsi="Times New Roman"/>
          <w:sz w:val="20"/>
        </w:rPr>
        <w:t>. Jezus wyjaśnił, że w Jego przesłaniu nie ma nic tajemniczego: „</w:t>
      </w:r>
      <w:r w:rsidRPr="00C40BF2">
        <w:rPr>
          <w:rFonts w:ascii="Times New Roman" w:hAnsi="Times New Roman"/>
          <w:color w:val="000000"/>
          <w:sz w:val="20"/>
        </w:rPr>
        <w:t>Nie ma bowiem nic ukrytego, co by nie miało być ujawnione i nic nie pozostało utajone, co by nie wyszło na jaw</w:t>
      </w:r>
      <w:r w:rsidRPr="00C40BF2">
        <w:rPr>
          <w:rFonts w:ascii="Times New Roman" w:hAnsi="Times New Roman"/>
          <w:sz w:val="20"/>
        </w:rPr>
        <w:t xml:space="preserve">” </w:t>
      </w:r>
      <w:r w:rsidRPr="00C40BF2">
        <w:rPr>
          <w:rFonts w:ascii="Times New Roman" w:hAnsi="Times New Roman"/>
          <w:iCs/>
          <w:sz w:val="20"/>
        </w:rPr>
        <w:t>(Mk 4,22)</w:t>
      </w:r>
      <w:r w:rsidRPr="00C40BF2">
        <w:rPr>
          <w:rFonts w:ascii="Times New Roman" w:hAnsi="Times New Roman"/>
          <w:sz w:val="20"/>
        </w:rPr>
        <w:t>.</w:t>
      </w:r>
    </w:p>
    <w:p w14:paraId="59FD9B63" w14:textId="6607B462" w:rsidR="00990B8A" w:rsidRPr="00C40BF2" w:rsidRDefault="00990B8A" w:rsidP="00990B8A">
      <w:pPr>
        <w:rPr>
          <w:rFonts w:ascii="Times New Roman" w:hAnsi="Times New Roman"/>
          <w:sz w:val="20"/>
        </w:rPr>
      </w:pPr>
      <w:r w:rsidRPr="00C40BF2">
        <w:rPr>
          <w:rFonts w:ascii="Times New Roman" w:hAnsi="Times New Roman"/>
          <w:sz w:val="20"/>
        </w:rPr>
        <w:t xml:space="preserve">Owe „tajemnice” królestwa (nie będące już tajemnicami, gdyż zostały objawione), nie zostaną zrozumiane przez wszystkich ludzi. Ewangelia jak ziarno jest rozsiewana na różnego rodzaju glebę, ale niestety nie każda gleba wydaje plon </w:t>
      </w:r>
      <w:r w:rsidRPr="00C40BF2">
        <w:rPr>
          <w:rFonts w:ascii="Times New Roman" w:hAnsi="Times New Roman"/>
          <w:iCs/>
          <w:sz w:val="20"/>
        </w:rPr>
        <w:t>(Mk 4,3-20)</w:t>
      </w:r>
      <w:r w:rsidRPr="00C40BF2">
        <w:rPr>
          <w:rFonts w:ascii="Times New Roman" w:hAnsi="Times New Roman"/>
          <w:sz w:val="20"/>
        </w:rPr>
        <w:t>. Duchowy rozwój w królestwie Bożym jest podobny do procesu wzrastania rośliny: „</w:t>
      </w:r>
      <w:r w:rsidRPr="00C40BF2">
        <w:rPr>
          <w:rFonts w:ascii="Times New Roman" w:hAnsi="Times New Roman"/>
          <w:color w:val="000000"/>
          <w:sz w:val="20"/>
        </w:rPr>
        <w:t>Bo ziemia sama z siebie owoc wydaje, najpierw trawę, potem kłos, potem pełne zboże w kłosie</w:t>
      </w:r>
      <w:r w:rsidRPr="00C40BF2">
        <w:rPr>
          <w:rFonts w:ascii="Times New Roman" w:hAnsi="Times New Roman"/>
          <w:sz w:val="20"/>
        </w:rPr>
        <w:t xml:space="preserve">” </w:t>
      </w:r>
      <w:r w:rsidRPr="00C40BF2">
        <w:rPr>
          <w:rFonts w:ascii="Times New Roman" w:hAnsi="Times New Roman"/>
          <w:iCs/>
          <w:sz w:val="20"/>
        </w:rPr>
        <w:t>(Mk 4,28)</w:t>
      </w:r>
      <w:r w:rsidRPr="00C40BF2">
        <w:rPr>
          <w:rFonts w:ascii="Times New Roman" w:hAnsi="Times New Roman"/>
          <w:sz w:val="20"/>
        </w:rPr>
        <w:t>. Ten rozwój obejmuje także zbiór plonów: „</w:t>
      </w:r>
      <w:r w:rsidRPr="00C40BF2">
        <w:rPr>
          <w:rFonts w:ascii="Times New Roman" w:hAnsi="Times New Roman"/>
          <w:color w:val="000000"/>
          <w:sz w:val="20"/>
        </w:rPr>
        <w:t>A gdy owoc dojrzeje, wnet się zapuszcza sierp, bo nadeszło żniwo</w:t>
      </w:r>
      <w:r w:rsidRPr="00C40BF2">
        <w:rPr>
          <w:rFonts w:ascii="Times New Roman" w:hAnsi="Times New Roman"/>
          <w:sz w:val="20"/>
        </w:rPr>
        <w:t xml:space="preserve">” </w:t>
      </w:r>
      <w:r w:rsidRPr="00C40BF2">
        <w:rPr>
          <w:rFonts w:ascii="Times New Roman" w:hAnsi="Times New Roman"/>
          <w:iCs/>
          <w:sz w:val="20"/>
        </w:rPr>
        <w:t>(Mk 4,29)</w:t>
      </w:r>
      <w:r w:rsidRPr="00C40BF2">
        <w:rPr>
          <w:rFonts w:ascii="Times New Roman" w:hAnsi="Times New Roman"/>
          <w:sz w:val="20"/>
        </w:rPr>
        <w:t>. Z tej alegorii wynika przesłanie, iż zanim Chrystus zbierze swój lud w swoim królestwie w</w:t>
      </w:r>
      <w:r w:rsidR="001B0A86">
        <w:rPr>
          <w:rFonts w:ascii="Times New Roman" w:hAnsi="Times New Roman"/>
          <w:sz w:val="20"/>
        </w:rPr>
        <w:t> </w:t>
      </w:r>
      <w:r w:rsidRPr="00C40BF2">
        <w:rPr>
          <w:rFonts w:ascii="Times New Roman" w:hAnsi="Times New Roman"/>
          <w:sz w:val="20"/>
        </w:rPr>
        <w:t xml:space="preserve">ramach ostatecznego żniwa w końcu czasu, musi najpierw zasiać ziarno - ewangelię - na glebie </w:t>
      </w:r>
      <w:r w:rsidRPr="00C40BF2">
        <w:rPr>
          <w:rFonts w:ascii="Times New Roman" w:hAnsi="Times New Roman"/>
          <w:iCs/>
          <w:sz w:val="20"/>
        </w:rPr>
        <w:t>(Mk 4,26)</w:t>
      </w:r>
      <w:r w:rsidRPr="00C40BF2">
        <w:rPr>
          <w:rFonts w:ascii="Times New Roman" w:hAnsi="Times New Roman"/>
          <w:sz w:val="20"/>
        </w:rPr>
        <w:t>. Królestwo Boże wydaje się z początku małe, a jego ziarna jawią się jako niepozorne. Ale „</w:t>
      </w:r>
      <w:r w:rsidRPr="00C40BF2">
        <w:rPr>
          <w:rFonts w:ascii="Times New Roman" w:hAnsi="Times New Roman"/>
          <w:color w:val="000000"/>
          <w:sz w:val="20"/>
        </w:rPr>
        <w:t>gdy zostaje zasiane, wyrasta i staje się większe od wszystkich jarzyn, i wypuszcza tak wielkie gałęzie, że w jego cieniu mogą się gnieździć ptaki niebieskie</w:t>
      </w:r>
      <w:r w:rsidRPr="00C40BF2">
        <w:rPr>
          <w:rFonts w:ascii="Times New Roman" w:hAnsi="Times New Roman"/>
          <w:sz w:val="20"/>
        </w:rPr>
        <w:t xml:space="preserve">” </w:t>
      </w:r>
      <w:r w:rsidRPr="00C40BF2">
        <w:rPr>
          <w:rFonts w:ascii="Times New Roman" w:hAnsi="Times New Roman"/>
          <w:iCs/>
          <w:sz w:val="20"/>
        </w:rPr>
        <w:t>(Mk 4,32)</w:t>
      </w:r>
      <w:r w:rsidRPr="00C40BF2">
        <w:rPr>
          <w:rFonts w:ascii="Times New Roman" w:hAnsi="Times New Roman"/>
          <w:sz w:val="20"/>
        </w:rPr>
        <w:t>.</w:t>
      </w:r>
    </w:p>
    <w:p w14:paraId="713F05FF" w14:textId="77777777" w:rsidR="00990B8A" w:rsidRPr="00C40BF2" w:rsidRDefault="00990B8A" w:rsidP="00990B8A">
      <w:pPr>
        <w:rPr>
          <w:rFonts w:ascii="Times New Roman" w:hAnsi="Times New Roman"/>
          <w:sz w:val="20"/>
        </w:rPr>
      </w:pPr>
      <w:r w:rsidRPr="00C40BF2">
        <w:rPr>
          <w:rFonts w:ascii="Times New Roman" w:hAnsi="Times New Roman"/>
          <w:sz w:val="20"/>
        </w:rPr>
        <w:t xml:space="preserve">Wypełnienie czasu, o którym jest mowa w </w:t>
      </w:r>
      <w:r w:rsidRPr="00C40BF2">
        <w:rPr>
          <w:rFonts w:ascii="Times New Roman" w:hAnsi="Times New Roman"/>
          <w:i/>
          <w:iCs/>
          <w:sz w:val="20"/>
        </w:rPr>
        <w:t>Ewangelii</w:t>
      </w:r>
      <w:r w:rsidRPr="00C40BF2">
        <w:rPr>
          <w:rFonts w:ascii="Times New Roman" w:hAnsi="Times New Roman"/>
          <w:sz w:val="20"/>
        </w:rPr>
        <w:t xml:space="preserve"> </w:t>
      </w:r>
      <w:r w:rsidRPr="00C40BF2">
        <w:rPr>
          <w:rFonts w:ascii="Times New Roman" w:hAnsi="Times New Roman"/>
          <w:i/>
          <w:iCs/>
          <w:sz w:val="20"/>
        </w:rPr>
        <w:t>Marka</w:t>
      </w:r>
      <w:r w:rsidRPr="00C40BF2">
        <w:rPr>
          <w:rFonts w:ascii="Times New Roman" w:hAnsi="Times New Roman"/>
          <w:sz w:val="20"/>
        </w:rPr>
        <w:t>, rozpoczęło się wraz z pojawieniem się królestwa Bożego w osobie Jezusa Chrystusa w ramach Jego pierwszego przyjścia. Inkarnowany Chrystus jest treścią ewangelii - dobrej nowiny. W każdej miejscowości, w której Go przyjmowano, Jezus głosił królestwo Boże. Przyszedł, by zasiać to ziarno na glebie wszystkich serc. Choć początkowo małe, królestwo ostatecznie będzie wielkie.</w:t>
      </w:r>
    </w:p>
    <w:p w14:paraId="19D5EA18" w14:textId="77777777" w:rsidR="00990B8A" w:rsidRPr="00C40BF2" w:rsidRDefault="00990B8A" w:rsidP="00990B8A">
      <w:pPr>
        <w:rPr>
          <w:rFonts w:ascii="Times New Roman" w:hAnsi="Times New Roman"/>
          <w:sz w:val="20"/>
        </w:rPr>
      </w:pPr>
      <w:r w:rsidRPr="00C40BF2">
        <w:rPr>
          <w:rFonts w:ascii="Times New Roman" w:hAnsi="Times New Roman"/>
          <w:sz w:val="20"/>
        </w:rPr>
        <w:t>Jezus wzywał ludzi, by przyjęli królestwo tu i teraz: „</w:t>
      </w:r>
      <w:r w:rsidRPr="00C40BF2">
        <w:rPr>
          <w:rFonts w:ascii="Times New Roman" w:hAnsi="Times New Roman"/>
          <w:color w:val="000000"/>
          <w:sz w:val="20"/>
        </w:rPr>
        <w:t>Zaprawdę powiadam wam, ktokolwiek by nie przyjął Królestwa Bożego jak dziecię, nie wejdzie do niego</w:t>
      </w:r>
      <w:r w:rsidRPr="00C40BF2">
        <w:rPr>
          <w:rFonts w:ascii="Times New Roman" w:hAnsi="Times New Roman"/>
          <w:sz w:val="20"/>
        </w:rPr>
        <w:t xml:space="preserve">” </w:t>
      </w:r>
      <w:r w:rsidRPr="00C40BF2">
        <w:rPr>
          <w:rFonts w:ascii="Times New Roman" w:hAnsi="Times New Roman"/>
          <w:iCs/>
          <w:sz w:val="20"/>
        </w:rPr>
        <w:t>(Mk 10,15)</w:t>
      </w:r>
      <w:r w:rsidRPr="00C40BF2">
        <w:rPr>
          <w:rFonts w:ascii="Times New Roman" w:hAnsi="Times New Roman"/>
          <w:sz w:val="20"/>
        </w:rPr>
        <w:t>. Innymi słowy, Zbawiciel zachęcał swoich słuchaczy i nas, byśmy doświadczali królestwa Bożego w naszym codziennym życiu. Jednak Jezus Chrystus wskazywał także na pełnię królestwa Bożego w końcu czasu: „</w:t>
      </w:r>
      <w:r w:rsidRPr="00C40BF2">
        <w:rPr>
          <w:rFonts w:ascii="Times New Roman" w:hAnsi="Times New Roman"/>
          <w:color w:val="000000"/>
          <w:sz w:val="20"/>
        </w:rPr>
        <w:t>Zaprawdę powiadam wam, nie będę już odtąd pił z owocu winorośli, aż do owego dnia, gdy go będę pił na nowo w Królestwie Bożym</w:t>
      </w:r>
      <w:r w:rsidRPr="00C40BF2">
        <w:rPr>
          <w:rFonts w:ascii="Times New Roman" w:hAnsi="Times New Roman"/>
          <w:sz w:val="20"/>
        </w:rPr>
        <w:t xml:space="preserve">” </w:t>
      </w:r>
      <w:r w:rsidRPr="00C40BF2">
        <w:rPr>
          <w:rFonts w:ascii="Times New Roman" w:hAnsi="Times New Roman"/>
          <w:iCs/>
          <w:sz w:val="20"/>
        </w:rPr>
        <w:t>(Mk 14,25)</w:t>
      </w:r>
      <w:r w:rsidRPr="00C40BF2">
        <w:rPr>
          <w:rFonts w:ascii="Times New Roman" w:hAnsi="Times New Roman"/>
          <w:sz w:val="20"/>
        </w:rPr>
        <w:t xml:space="preserve">. Eschatologia </w:t>
      </w:r>
      <w:r w:rsidRPr="00C40BF2">
        <w:rPr>
          <w:rFonts w:ascii="Times New Roman" w:hAnsi="Times New Roman"/>
          <w:i/>
          <w:iCs/>
          <w:sz w:val="20"/>
        </w:rPr>
        <w:t>Ewangelii Marka</w:t>
      </w:r>
      <w:r w:rsidRPr="00C40BF2">
        <w:rPr>
          <w:rFonts w:ascii="Times New Roman" w:hAnsi="Times New Roman"/>
          <w:sz w:val="20"/>
        </w:rPr>
        <w:t xml:space="preserve"> wiąże się ze świadomością faktu, iż „koniec czasu” jest jeszcze kwestią przyszłości. Jednak </w:t>
      </w:r>
      <w:r w:rsidRPr="00C40BF2">
        <w:rPr>
          <w:rFonts w:ascii="Times New Roman" w:hAnsi="Times New Roman"/>
          <w:sz w:val="20"/>
        </w:rPr>
        <w:lastRenderedPageBreak/>
        <w:t>Marek podkreśla aktualne istnienie królestwa Bożego w jego wstępnym stadium jako doświadczanego przez wierzących tu i teraz.</w:t>
      </w:r>
    </w:p>
    <w:p w14:paraId="3E826845" w14:textId="77777777" w:rsidR="00990B8A" w:rsidRPr="00C40BF2" w:rsidRDefault="00990B8A" w:rsidP="00990B8A">
      <w:pPr>
        <w:rPr>
          <w:rFonts w:ascii="Times New Roman" w:hAnsi="Times New Roman"/>
          <w:sz w:val="20"/>
        </w:rPr>
      </w:pPr>
    </w:p>
    <w:p w14:paraId="2BE6F8D5" w14:textId="77777777" w:rsidR="00990B8A" w:rsidRDefault="00990B8A" w:rsidP="00990B8A">
      <w:pPr>
        <w:rPr>
          <w:rFonts w:ascii="Times New Roman" w:hAnsi="Times New Roman"/>
          <w:b/>
          <w:bCs/>
          <w:sz w:val="20"/>
        </w:rPr>
      </w:pPr>
      <w:r w:rsidRPr="00C40BF2">
        <w:rPr>
          <w:rFonts w:ascii="Times New Roman" w:hAnsi="Times New Roman"/>
          <w:b/>
          <w:bCs/>
          <w:sz w:val="20"/>
        </w:rPr>
        <w:t>Część III: Zastosowanie</w:t>
      </w:r>
    </w:p>
    <w:p w14:paraId="22CF34F1" w14:textId="77777777" w:rsidR="001B0A86" w:rsidRPr="00C40BF2" w:rsidRDefault="001B0A86" w:rsidP="00990B8A">
      <w:pPr>
        <w:rPr>
          <w:rFonts w:ascii="Times New Roman" w:hAnsi="Times New Roman"/>
          <w:b/>
          <w:bCs/>
          <w:sz w:val="20"/>
        </w:rPr>
      </w:pPr>
    </w:p>
    <w:p w14:paraId="56E4CE15" w14:textId="167621FF" w:rsidR="00990B8A" w:rsidRPr="00C40BF2" w:rsidRDefault="00990B8A" w:rsidP="00990B8A">
      <w:pPr>
        <w:rPr>
          <w:rFonts w:ascii="Times New Roman" w:hAnsi="Times New Roman"/>
          <w:sz w:val="20"/>
        </w:rPr>
      </w:pPr>
      <w:r w:rsidRPr="00C40BF2">
        <w:rPr>
          <w:rFonts w:ascii="Times New Roman" w:hAnsi="Times New Roman"/>
          <w:sz w:val="20"/>
        </w:rPr>
        <w:t>„Wszyscy, którzy stali się poddanymi królestwa Chrystusowego, powinni dawać dowody swej wiary i skruchy. W ich życiu będzie przejawiać się uprzejmość, uczciwość i wierność. Będą służyć potrzebującym i przynosić Bogu swe dary. Będą chronić bezbronnych i dawać przykład cnoty oraz współczucia. W ten sam sposób naśladowcy Chrystusa dadzą świadectwo przekształcającej mocy Ducha Świętego. W ich codziennym życiu uwidocznią się: sprawiedliwość, miłosierdzie i miłość Boga. W przeciwnym razie sta</w:t>
      </w:r>
      <w:r w:rsidR="000D0A12">
        <w:rPr>
          <w:rFonts w:ascii="Times New Roman" w:hAnsi="Times New Roman"/>
          <w:sz w:val="20"/>
        </w:rPr>
        <w:t>n</w:t>
      </w:r>
      <w:r w:rsidRPr="00C40BF2">
        <w:rPr>
          <w:rFonts w:ascii="Times New Roman" w:hAnsi="Times New Roman"/>
          <w:sz w:val="20"/>
        </w:rPr>
        <w:t xml:space="preserve">ą się jak rzucane w ogień plewy” (Ellen G. White, </w:t>
      </w:r>
      <w:r w:rsidRPr="00C40BF2">
        <w:rPr>
          <w:rFonts w:ascii="Times New Roman" w:hAnsi="Times New Roman"/>
          <w:i/>
          <w:sz w:val="20"/>
        </w:rPr>
        <w:t>Życie Jezusa</w:t>
      </w:r>
      <w:r w:rsidRPr="00C40BF2">
        <w:rPr>
          <w:rFonts w:ascii="Times New Roman" w:hAnsi="Times New Roman"/>
          <w:sz w:val="20"/>
        </w:rPr>
        <w:t>, wyd. 16, Warszawa 2018, s. 71).</w:t>
      </w:r>
    </w:p>
    <w:p w14:paraId="22C2D924" w14:textId="77777777" w:rsidR="00990B8A" w:rsidRPr="00C40BF2" w:rsidRDefault="00990B8A" w:rsidP="00990B8A">
      <w:pPr>
        <w:rPr>
          <w:rFonts w:ascii="Times New Roman" w:hAnsi="Times New Roman"/>
          <w:sz w:val="20"/>
        </w:rPr>
      </w:pPr>
      <w:r w:rsidRPr="00C40BF2">
        <w:rPr>
          <w:rFonts w:ascii="Times New Roman" w:hAnsi="Times New Roman"/>
          <w:sz w:val="20"/>
        </w:rPr>
        <w:t>Po przeczytaniu powyższego cytatu poproś uczestników lekcji, by odpowiedzieli na następujące pytania:</w:t>
      </w:r>
    </w:p>
    <w:p w14:paraId="281107EE" w14:textId="77777777" w:rsidR="00990B8A" w:rsidRPr="00C40BF2" w:rsidRDefault="00990B8A" w:rsidP="00990B8A">
      <w:pPr>
        <w:rPr>
          <w:rFonts w:ascii="Times New Roman" w:hAnsi="Times New Roman"/>
          <w:sz w:val="20"/>
        </w:rPr>
      </w:pPr>
      <w:r w:rsidRPr="00C40BF2">
        <w:rPr>
          <w:rFonts w:ascii="Times New Roman" w:hAnsi="Times New Roman"/>
          <w:sz w:val="20"/>
        </w:rPr>
        <w:t>1. Jak obecnie doświadczasz królestwa Bożego?</w:t>
      </w:r>
    </w:p>
    <w:p w14:paraId="306A04BD" w14:textId="77777777" w:rsidR="00990B8A" w:rsidRPr="00C40BF2" w:rsidRDefault="00990B8A" w:rsidP="00990B8A">
      <w:pPr>
        <w:rPr>
          <w:rFonts w:ascii="Times New Roman" w:hAnsi="Times New Roman"/>
          <w:sz w:val="20"/>
        </w:rPr>
      </w:pPr>
      <w:r w:rsidRPr="00C40BF2">
        <w:rPr>
          <w:rFonts w:ascii="Times New Roman" w:hAnsi="Times New Roman"/>
          <w:sz w:val="20"/>
        </w:rPr>
        <w:t>2. Jak ludzie reagowali na pierwsze przyjście Jezusa?</w:t>
      </w:r>
    </w:p>
    <w:p w14:paraId="6E4480E0" w14:textId="77777777" w:rsidR="00990B8A" w:rsidRPr="00C40BF2" w:rsidRDefault="00990B8A" w:rsidP="00990B8A">
      <w:pPr>
        <w:rPr>
          <w:rFonts w:ascii="Times New Roman" w:hAnsi="Times New Roman"/>
          <w:sz w:val="20"/>
        </w:rPr>
      </w:pPr>
      <w:r w:rsidRPr="00C40BF2">
        <w:rPr>
          <w:rFonts w:ascii="Times New Roman" w:hAnsi="Times New Roman"/>
          <w:sz w:val="20"/>
        </w:rPr>
        <w:t>3. Jak ludzie przyjmują informacje o powtórnym przyjściu Jezusa i jak reagują na nie?</w:t>
      </w:r>
    </w:p>
    <w:p w14:paraId="551116BF" w14:textId="77777777" w:rsidR="00990B8A" w:rsidRPr="00C40BF2" w:rsidRDefault="00990B8A" w:rsidP="001B0A86">
      <w:pPr>
        <w:ind w:left="567" w:firstLine="0"/>
        <w:rPr>
          <w:rFonts w:ascii="Times New Roman" w:hAnsi="Times New Roman"/>
          <w:sz w:val="20"/>
        </w:rPr>
      </w:pPr>
      <w:r w:rsidRPr="00C40BF2">
        <w:rPr>
          <w:rFonts w:ascii="Times New Roman" w:hAnsi="Times New Roman"/>
          <w:sz w:val="20"/>
        </w:rPr>
        <w:t>4. Na podstawie powyższego porównania, jak ważne jest królestwo Boże w twoim osobistym głoszeniu ewangelii?</w:t>
      </w: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D5340" w14:textId="77777777" w:rsidR="00B56C37" w:rsidRDefault="00B56C37" w:rsidP="00A820C9">
      <w:r>
        <w:separator/>
      </w:r>
    </w:p>
  </w:endnote>
  <w:endnote w:type="continuationSeparator" w:id="0">
    <w:p w14:paraId="7AD7B2DC" w14:textId="77777777" w:rsidR="00B56C37" w:rsidRDefault="00B56C3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86F96" w14:textId="77777777" w:rsidR="00B56C37" w:rsidRDefault="00B56C37" w:rsidP="00A820C9">
      <w:r>
        <w:separator/>
      </w:r>
    </w:p>
  </w:footnote>
  <w:footnote w:type="continuationSeparator" w:id="0">
    <w:p w14:paraId="45BA9E22" w14:textId="77777777" w:rsidR="00B56C37" w:rsidRDefault="00B56C3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41580404"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7F0ED6">
      <w:rPr>
        <w:rFonts w:ascii="Times New Roman" w:hAnsi="Times New Roman"/>
        <w:sz w:val="16"/>
        <w:szCs w:val="16"/>
      </w:rPr>
      <w:t>4</w:t>
    </w:r>
    <w:r w:rsidR="00D07327">
      <w:rPr>
        <w:rFonts w:ascii="Times New Roman" w:hAnsi="Times New Roman"/>
        <w:sz w:val="16"/>
        <w:szCs w:val="16"/>
      </w:rPr>
      <w:t xml:space="preserve">- </w:t>
    </w:r>
    <w:r w:rsidR="007F0ED6">
      <w:rPr>
        <w:rFonts w:ascii="Times New Roman" w:hAnsi="Times New Roman"/>
        <w:bCs/>
        <w:i/>
        <w:iCs/>
        <w:sz w:val="16"/>
        <w:szCs w:val="16"/>
      </w:rPr>
      <w:t xml:space="preserve">Przypowieści </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0A6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A12"/>
    <w:rsid w:val="000D0B43"/>
    <w:rsid w:val="000D3669"/>
    <w:rsid w:val="000D704C"/>
    <w:rsid w:val="000E37F9"/>
    <w:rsid w:val="000E3D8C"/>
    <w:rsid w:val="000E4875"/>
    <w:rsid w:val="000E784F"/>
    <w:rsid w:val="000F1FAD"/>
    <w:rsid w:val="000F4D2C"/>
    <w:rsid w:val="000F7D84"/>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0A86"/>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D47"/>
    <w:rsid w:val="002148B5"/>
    <w:rsid w:val="002215B7"/>
    <w:rsid w:val="00223349"/>
    <w:rsid w:val="00224E75"/>
    <w:rsid w:val="002263D7"/>
    <w:rsid w:val="00226F85"/>
    <w:rsid w:val="00236B62"/>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0FCF"/>
    <w:rsid w:val="00291044"/>
    <w:rsid w:val="0029224F"/>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D5419"/>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5198"/>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0ED6"/>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188"/>
    <w:rsid w:val="00971A12"/>
    <w:rsid w:val="00971D22"/>
    <w:rsid w:val="00974B48"/>
    <w:rsid w:val="0097572F"/>
    <w:rsid w:val="00976FCA"/>
    <w:rsid w:val="00977142"/>
    <w:rsid w:val="0097770A"/>
    <w:rsid w:val="00980C54"/>
    <w:rsid w:val="00981BE7"/>
    <w:rsid w:val="0098700D"/>
    <w:rsid w:val="00990B8A"/>
    <w:rsid w:val="00991BDC"/>
    <w:rsid w:val="009922DE"/>
    <w:rsid w:val="0099242B"/>
    <w:rsid w:val="00992622"/>
    <w:rsid w:val="00993777"/>
    <w:rsid w:val="00997535"/>
    <w:rsid w:val="009A6521"/>
    <w:rsid w:val="009A7414"/>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56C37"/>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42FE"/>
    <w:rsid w:val="00C76D9B"/>
    <w:rsid w:val="00C825E3"/>
    <w:rsid w:val="00C83D3B"/>
    <w:rsid w:val="00C851EF"/>
    <w:rsid w:val="00C85D32"/>
    <w:rsid w:val="00C92F76"/>
    <w:rsid w:val="00C93192"/>
    <w:rsid w:val="00C93C85"/>
    <w:rsid w:val="00C956B4"/>
    <w:rsid w:val="00CA1F88"/>
    <w:rsid w:val="00CA635B"/>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0D4"/>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4EF8"/>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2.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3.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50F64-C002-4E1D-97E1-64C9EAE7F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1671</Words>
  <Characters>9844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2023-06-19T12:47:00Z</cp:lastPrinted>
  <dcterms:created xsi:type="dcterms:W3CDTF">2024-06-19T11:38:00Z</dcterms:created>
  <dcterms:modified xsi:type="dcterms:W3CDTF">2024-06-19T11:44:00Z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