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29A3137C"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426869">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t>11</w:t>
      </w:r>
      <w:r w:rsidR="0043497F">
        <w:rPr>
          <w:rFonts w:ascii="Times New Roman" w:hAnsi="Times New Roman"/>
          <w:sz w:val="20"/>
        </w:rPr>
        <w:t xml:space="preserve"> </w:t>
      </w:r>
      <w:r w:rsidR="00681D21">
        <w:rPr>
          <w:rFonts w:ascii="Times New Roman" w:hAnsi="Times New Roman"/>
          <w:sz w:val="20"/>
        </w:rPr>
        <w:t>października</w:t>
      </w:r>
    </w:p>
    <w:p w14:paraId="44419BFB" w14:textId="700C78F1" w:rsidR="000A2359" w:rsidRPr="000A2359" w:rsidRDefault="00937141" w:rsidP="00964D30">
      <w:pPr>
        <w:ind w:firstLine="0"/>
        <w:jc w:val="center"/>
        <w:rPr>
          <w:rFonts w:ascii="Times New Roman" w:hAnsi="Times New Roman"/>
          <w:sz w:val="28"/>
          <w:szCs w:val="28"/>
        </w:rPr>
      </w:pPr>
      <w:r>
        <w:rPr>
          <w:rFonts w:ascii="Times New Roman" w:hAnsi="Times New Roman"/>
          <w:b/>
          <w:bCs/>
          <w:sz w:val="28"/>
          <w:szCs w:val="28"/>
        </w:rPr>
        <w:t xml:space="preserve">ZASKOCZENI PRZEZ ŁASKĘ </w:t>
      </w:r>
    </w:p>
    <w:p w14:paraId="5A7333B4" w14:textId="77777777" w:rsidR="00A1351A" w:rsidRDefault="00A1351A" w:rsidP="00964D30">
      <w:pPr>
        <w:ind w:firstLine="0"/>
        <w:rPr>
          <w:rFonts w:ascii="Times New Roman" w:hAnsi="Times New Roman"/>
          <w:b/>
          <w:bCs/>
          <w:sz w:val="20"/>
        </w:rPr>
      </w:pPr>
    </w:p>
    <w:p w14:paraId="729DAB01" w14:textId="77777777" w:rsidR="00AF2AD5" w:rsidRPr="00641CF6" w:rsidRDefault="00AF2AD5" w:rsidP="00AF2AD5">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Hbr</w:t>
      </w:r>
      <w:proofErr w:type="spellEnd"/>
      <w:r w:rsidRPr="00641CF6">
        <w:rPr>
          <w:rFonts w:ascii="Times New Roman" w:hAnsi="Times New Roman"/>
          <w:iCs/>
          <w:sz w:val="20"/>
        </w:rPr>
        <w:t> 11,31.</w:t>
      </w:r>
    </w:p>
    <w:p w14:paraId="25B63AED" w14:textId="77777777" w:rsidR="00AF2AD5" w:rsidRPr="00641CF6" w:rsidRDefault="00AF2AD5" w:rsidP="00AF2AD5">
      <w:pPr>
        <w:rPr>
          <w:rFonts w:ascii="Times New Roman" w:hAnsi="Times New Roman"/>
          <w:sz w:val="20"/>
        </w:rPr>
      </w:pPr>
    </w:p>
    <w:p w14:paraId="5AFF6FC9" w14:textId="77777777" w:rsidR="00AF2AD5" w:rsidRPr="00641CF6" w:rsidRDefault="00AF2AD5" w:rsidP="00AF2AD5">
      <w:pPr>
        <w:ind w:firstLine="0"/>
        <w:rPr>
          <w:rFonts w:ascii="Times New Roman" w:hAnsi="Times New Roman"/>
          <w:iCs/>
          <w:sz w:val="20"/>
        </w:rPr>
      </w:pPr>
      <w:r w:rsidRPr="00641CF6">
        <w:rPr>
          <w:rFonts w:ascii="Times New Roman" w:hAnsi="Times New Roman"/>
          <w:b/>
          <w:bCs/>
          <w:sz w:val="20"/>
        </w:rPr>
        <w:t xml:space="preserve">Zakres studium: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2,1-16; Lb 14,1-12; </w:t>
      </w:r>
      <w:proofErr w:type="spellStart"/>
      <w:r w:rsidRPr="00641CF6">
        <w:rPr>
          <w:rFonts w:ascii="Times New Roman" w:hAnsi="Times New Roman"/>
          <w:iCs/>
          <w:sz w:val="20"/>
        </w:rPr>
        <w:t>Hbr</w:t>
      </w:r>
      <w:proofErr w:type="spellEnd"/>
      <w:r w:rsidRPr="00641CF6">
        <w:rPr>
          <w:rFonts w:ascii="Times New Roman" w:hAnsi="Times New Roman"/>
          <w:iCs/>
          <w:sz w:val="20"/>
        </w:rPr>
        <w:t xml:space="preserve"> 11,31; </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12,13; </w:t>
      </w:r>
      <w:proofErr w:type="spellStart"/>
      <w:r w:rsidRPr="00641CF6">
        <w:rPr>
          <w:rFonts w:ascii="Times New Roman" w:hAnsi="Times New Roman"/>
          <w:iCs/>
          <w:sz w:val="20"/>
        </w:rPr>
        <w:t>Joz</w:t>
      </w:r>
      <w:proofErr w:type="spellEnd"/>
      <w:r w:rsidRPr="00641CF6">
        <w:rPr>
          <w:rFonts w:ascii="Times New Roman" w:hAnsi="Times New Roman"/>
          <w:iCs/>
          <w:sz w:val="20"/>
        </w:rPr>
        <w:t> 9; Ne 7,25.</w:t>
      </w:r>
    </w:p>
    <w:p w14:paraId="14705C1F" w14:textId="77777777" w:rsidR="00AF2AD5" w:rsidRPr="00641CF6" w:rsidRDefault="00AF2AD5" w:rsidP="00AF2AD5">
      <w:pPr>
        <w:rPr>
          <w:rFonts w:ascii="Times New Roman" w:hAnsi="Times New Roman"/>
          <w:sz w:val="20"/>
        </w:rPr>
      </w:pPr>
    </w:p>
    <w:p w14:paraId="358ACC88" w14:textId="77777777" w:rsidR="00AF2AD5" w:rsidRPr="00641CF6" w:rsidRDefault="00AF2AD5" w:rsidP="00AF2AD5">
      <w:pPr>
        <w:ind w:firstLine="0"/>
        <w:rPr>
          <w:rFonts w:ascii="Times New Roman" w:hAnsi="Times New Roman"/>
          <w:sz w:val="20"/>
        </w:rPr>
      </w:pPr>
      <w:r w:rsidRPr="00641CF6">
        <w:rPr>
          <w:rFonts w:ascii="Times New Roman" w:hAnsi="Times New Roman"/>
          <w:b/>
          <w:sz w:val="20"/>
        </w:rPr>
        <w:t>Część I: Przegląd</w:t>
      </w:r>
    </w:p>
    <w:p w14:paraId="28D54AE2" w14:textId="3F2E7240" w:rsidR="00AF2AD5" w:rsidRPr="00641CF6" w:rsidRDefault="00AF2AD5" w:rsidP="00AF2AD5">
      <w:pPr>
        <w:rPr>
          <w:rFonts w:ascii="Times New Roman" w:hAnsi="Times New Roman"/>
          <w:sz w:val="20"/>
        </w:rPr>
      </w:pPr>
      <w:r w:rsidRPr="00641CF6">
        <w:rPr>
          <w:rFonts w:ascii="Times New Roman" w:hAnsi="Times New Roman"/>
          <w:sz w:val="20"/>
        </w:rPr>
        <w:t xml:space="preserve">Wielu czytelnikom </w:t>
      </w:r>
      <w:r w:rsidRPr="00641CF6">
        <w:rPr>
          <w:rFonts w:ascii="Times New Roman" w:hAnsi="Times New Roman"/>
          <w:i/>
          <w:iCs/>
          <w:sz w:val="20"/>
        </w:rPr>
        <w:t xml:space="preserve">Księga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kojarzy się z wojną, zniszczeniem i śmiercią. Choć te elementy są obecne w tej księdze, to jednak nie są w niej jedyne ani nawet najważniejsze. Zniszczenie Kananejczyków nastąpiło po bardzo długim czasie łaski, jaki otrzymali, a także w wyniku ich uporu </w:t>
      </w:r>
      <w:r w:rsidRPr="00641CF6">
        <w:rPr>
          <w:rFonts w:ascii="Times New Roman" w:hAnsi="Times New Roman"/>
          <w:iCs/>
          <w:sz w:val="20"/>
        </w:rPr>
        <w:t>(Rdz 15,16)</w:t>
      </w:r>
      <w:r w:rsidRPr="00641CF6">
        <w:rPr>
          <w:rFonts w:ascii="Times New Roman" w:hAnsi="Times New Roman"/>
          <w:sz w:val="20"/>
        </w:rPr>
        <w:t xml:space="preserve">. Wydarzenia opisane w </w:t>
      </w:r>
      <w:r w:rsidRPr="00641CF6">
        <w:rPr>
          <w:rFonts w:ascii="Times New Roman" w:hAnsi="Times New Roman"/>
          <w:i/>
          <w:iCs/>
          <w:sz w:val="20"/>
        </w:rPr>
        <w:t>Księdze Wyjścia</w:t>
      </w:r>
      <w:r w:rsidRPr="00641CF6">
        <w:rPr>
          <w:rFonts w:ascii="Times New Roman" w:hAnsi="Times New Roman"/>
          <w:sz w:val="20"/>
        </w:rPr>
        <w:t xml:space="preserve"> stanowiły istotne świadectwo władzy Boga i były niejako ostatnim ostrzeżeniem dla mieszkańców </w:t>
      </w:r>
      <w:proofErr w:type="spellStart"/>
      <w:r w:rsidRPr="00641CF6">
        <w:rPr>
          <w:rFonts w:ascii="Times New Roman" w:hAnsi="Times New Roman"/>
          <w:sz w:val="20"/>
        </w:rPr>
        <w:t>Kanaanu</w:t>
      </w:r>
      <w:proofErr w:type="spellEnd"/>
      <w:r w:rsidRPr="00641CF6">
        <w:rPr>
          <w:rFonts w:ascii="Times New Roman" w:hAnsi="Times New Roman"/>
          <w:sz w:val="20"/>
        </w:rPr>
        <w:t xml:space="preserve">. Przykłady </w:t>
      </w:r>
      <w:proofErr w:type="spellStart"/>
      <w:r w:rsidRPr="00641CF6">
        <w:rPr>
          <w:rFonts w:ascii="Times New Roman" w:hAnsi="Times New Roman"/>
          <w:sz w:val="20"/>
        </w:rPr>
        <w:t>Rachab</w:t>
      </w:r>
      <w:proofErr w:type="spellEnd"/>
      <w:r w:rsidRPr="00641CF6">
        <w:rPr>
          <w:rFonts w:ascii="Times New Roman" w:hAnsi="Times New Roman"/>
          <w:sz w:val="20"/>
        </w:rPr>
        <w:t xml:space="preserve"> i </w:t>
      </w:r>
      <w:proofErr w:type="spellStart"/>
      <w:r w:rsidRPr="00641CF6">
        <w:rPr>
          <w:rFonts w:ascii="Times New Roman" w:hAnsi="Times New Roman"/>
          <w:sz w:val="20"/>
        </w:rPr>
        <w:t>Gibeonitów</w:t>
      </w:r>
      <w:proofErr w:type="spellEnd"/>
      <w:r w:rsidRPr="00641CF6">
        <w:rPr>
          <w:rFonts w:ascii="Times New Roman" w:hAnsi="Times New Roman"/>
          <w:sz w:val="20"/>
        </w:rPr>
        <w:t xml:space="preserve"> świadczą, że Kananejczycy dobrze wiedzieli o</w:t>
      </w:r>
      <w:r>
        <w:rPr>
          <w:rFonts w:ascii="Times New Roman" w:hAnsi="Times New Roman"/>
          <w:sz w:val="20"/>
        </w:rPr>
        <w:t> </w:t>
      </w:r>
      <w:r w:rsidRPr="00641CF6">
        <w:rPr>
          <w:rFonts w:ascii="Times New Roman" w:hAnsi="Times New Roman"/>
          <w:sz w:val="20"/>
        </w:rPr>
        <w:t>dokonaniach Boga, ale nieliczni właściwie na nie zareagowali. Większość zamiast się poddać, wybrała opór, powtarzając fatalny błąd faraona sprzed czterdziestu lat.</w:t>
      </w:r>
    </w:p>
    <w:p w14:paraId="19A692E6"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W gruncie rzeczy </w:t>
      </w:r>
      <w:r w:rsidRPr="00641CF6">
        <w:rPr>
          <w:rFonts w:ascii="Times New Roman" w:hAnsi="Times New Roman"/>
          <w:i/>
          <w:iCs/>
          <w:sz w:val="20"/>
        </w:rPr>
        <w:t xml:space="preserve">Księga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jest księgą łaski i miłosierdzia. W tym tygodniu przyjrzymy się, jak łaska Boża przejawiała się w życiu Izraelitów i Kananejczyków. Izraelici ponownie przygotowywali się do wejścia do Ziemi Obiecanej. Bóg dał im drugą szansę. Zagrożenie ze strony militarnej siły Kananejczyków nie ustąpiło. Zmieniła się jednak wiara nowego pokolenia Izraelitów. Co do Kananejczyków, przykłady </w:t>
      </w:r>
      <w:proofErr w:type="spellStart"/>
      <w:r w:rsidRPr="00641CF6">
        <w:rPr>
          <w:rFonts w:ascii="Times New Roman" w:hAnsi="Times New Roman"/>
          <w:sz w:val="20"/>
        </w:rPr>
        <w:t>Rachab</w:t>
      </w:r>
      <w:proofErr w:type="spellEnd"/>
      <w:r w:rsidRPr="00641CF6">
        <w:rPr>
          <w:rFonts w:ascii="Times New Roman" w:hAnsi="Times New Roman"/>
          <w:sz w:val="20"/>
        </w:rPr>
        <w:t xml:space="preserve"> i </w:t>
      </w:r>
      <w:proofErr w:type="spellStart"/>
      <w:r w:rsidRPr="00641CF6">
        <w:rPr>
          <w:rFonts w:ascii="Times New Roman" w:hAnsi="Times New Roman"/>
          <w:sz w:val="20"/>
        </w:rPr>
        <w:t>Gibeonitów</w:t>
      </w:r>
      <w:proofErr w:type="spellEnd"/>
      <w:r w:rsidRPr="00641CF6">
        <w:rPr>
          <w:rFonts w:ascii="Times New Roman" w:hAnsi="Times New Roman"/>
          <w:sz w:val="20"/>
        </w:rPr>
        <w:t xml:space="preserve"> wyraźnie świadczą, że nikt nie musiał zginąć, nawet jeśli ich wiara była daleka od ideału. Kiedy porównujemy wiarę Izraelitów do tej, jaką okazali </w:t>
      </w:r>
      <w:proofErr w:type="spellStart"/>
      <w:r w:rsidRPr="00641CF6">
        <w:rPr>
          <w:rFonts w:ascii="Times New Roman" w:hAnsi="Times New Roman"/>
          <w:sz w:val="20"/>
        </w:rPr>
        <w:t>Rachab</w:t>
      </w:r>
      <w:proofErr w:type="spellEnd"/>
      <w:r w:rsidRPr="00641CF6">
        <w:rPr>
          <w:rFonts w:ascii="Times New Roman" w:hAnsi="Times New Roman"/>
          <w:sz w:val="20"/>
        </w:rPr>
        <w:t xml:space="preserve"> i </w:t>
      </w:r>
      <w:proofErr w:type="spellStart"/>
      <w:r w:rsidRPr="00641CF6">
        <w:rPr>
          <w:rFonts w:ascii="Times New Roman" w:hAnsi="Times New Roman"/>
          <w:sz w:val="20"/>
        </w:rPr>
        <w:t>Gibeonici</w:t>
      </w:r>
      <w:proofErr w:type="spellEnd"/>
      <w:r w:rsidRPr="00641CF6">
        <w:rPr>
          <w:rFonts w:ascii="Times New Roman" w:hAnsi="Times New Roman"/>
          <w:sz w:val="20"/>
        </w:rPr>
        <w:t>, uczymy się ważnej lekcji dotyczącej naszej duchowej drogi. Najważniejszą lekcją, jak się przekonamy, jest ta, iż wszyscy potrzebujemy zdumiewającej Bożej łaski.</w:t>
      </w:r>
    </w:p>
    <w:p w14:paraId="265E5062" w14:textId="77777777" w:rsidR="00AF2AD5" w:rsidRPr="00641CF6" w:rsidRDefault="00AF2AD5" w:rsidP="00AF2AD5">
      <w:pPr>
        <w:rPr>
          <w:rFonts w:ascii="Times New Roman" w:hAnsi="Times New Roman"/>
          <w:sz w:val="20"/>
        </w:rPr>
      </w:pPr>
    </w:p>
    <w:p w14:paraId="0B3E7661" w14:textId="77777777" w:rsidR="00AF2AD5" w:rsidRPr="00641CF6" w:rsidRDefault="00AF2AD5" w:rsidP="00AF2AD5">
      <w:pPr>
        <w:ind w:firstLine="0"/>
        <w:rPr>
          <w:rFonts w:ascii="Times New Roman" w:hAnsi="Times New Roman"/>
          <w:sz w:val="20"/>
        </w:rPr>
      </w:pPr>
      <w:r w:rsidRPr="00641CF6">
        <w:rPr>
          <w:rFonts w:ascii="Times New Roman" w:hAnsi="Times New Roman"/>
          <w:b/>
          <w:sz w:val="20"/>
        </w:rPr>
        <w:t>Część II: Komentarz</w:t>
      </w:r>
    </w:p>
    <w:p w14:paraId="7650123E" w14:textId="77777777" w:rsidR="00AF2AD5" w:rsidRPr="00641CF6" w:rsidRDefault="00AF2AD5" w:rsidP="00AF2AD5">
      <w:pPr>
        <w:rPr>
          <w:rFonts w:ascii="Times New Roman" w:hAnsi="Times New Roman"/>
          <w:sz w:val="20"/>
        </w:rPr>
      </w:pPr>
    </w:p>
    <w:p w14:paraId="78D8DEC3" w14:textId="77777777" w:rsidR="00AF2AD5" w:rsidRPr="00641CF6" w:rsidRDefault="00AF2AD5" w:rsidP="00AF2AD5">
      <w:pPr>
        <w:ind w:firstLine="0"/>
        <w:rPr>
          <w:rFonts w:ascii="Times New Roman" w:hAnsi="Times New Roman"/>
          <w:sz w:val="20"/>
        </w:rPr>
      </w:pPr>
      <w:r w:rsidRPr="00641CF6">
        <w:rPr>
          <w:rFonts w:ascii="Times New Roman" w:hAnsi="Times New Roman"/>
          <w:b/>
          <w:bCs/>
          <w:sz w:val="20"/>
        </w:rPr>
        <w:t>Wiara drugiego pokolenia</w:t>
      </w:r>
    </w:p>
    <w:p w14:paraId="32E6E3FD"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W </w:t>
      </w:r>
      <w:proofErr w:type="spellStart"/>
      <w:r w:rsidRPr="00641CF6">
        <w:rPr>
          <w:rFonts w:ascii="Times New Roman" w:hAnsi="Times New Roman"/>
          <w:sz w:val="20"/>
        </w:rPr>
        <w:t>Joz</w:t>
      </w:r>
      <w:proofErr w:type="spellEnd"/>
      <w:r w:rsidRPr="00641CF6">
        <w:rPr>
          <w:rFonts w:ascii="Times New Roman" w:hAnsi="Times New Roman"/>
          <w:sz w:val="20"/>
        </w:rPr>
        <w:t xml:space="preserve"> 2,1 drugie pokolenie Izraelitów wychowane na pustyni stanęło wobec dylematu podobnego do tego, jaki był udziałem poprzedniego pokolenia. Wysłanie zwiadowców potwierdziło dobitnie, że kraj, który Bóg im dał, musi zostać jeszcze zdobyty. Ten paradoks był powodem frustracji poprzedniego pokolenia w </w:t>
      </w:r>
      <w:proofErr w:type="spellStart"/>
      <w:r w:rsidRPr="00641CF6">
        <w:rPr>
          <w:rFonts w:ascii="Times New Roman" w:hAnsi="Times New Roman"/>
          <w:sz w:val="20"/>
        </w:rPr>
        <w:t>Kadesz-Barnea</w:t>
      </w:r>
      <w:proofErr w:type="spellEnd"/>
      <w:r w:rsidRPr="00641CF6">
        <w:rPr>
          <w:rFonts w:ascii="Times New Roman" w:hAnsi="Times New Roman"/>
          <w:sz w:val="20"/>
        </w:rPr>
        <w:t xml:space="preserve"> </w:t>
      </w:r>
      <w:r w:rsidRPr="00641CF6">
        <w:rPr>
          <w:rFonts w:ascii="Times New Roman" w:hAnsi="Times New Roman"/>
          <w:iCs/>
          <w:sz w:val="20"/>
        </w:rPr>
        <w:t xml:space="preserve">(Lb 13-14) </w:t>
      </w:r>
      <w:r w:rsidRPr="00641CF6">
        <w:rPr>
          <w:rFonts w:ascii="Times New Roman" w:hAnsi="Times New Roman"/>
          <w:sz w:val="20"/>
        </w:rPr>
        <w:t>- choć kraj był darem, trzeba było zapłacić cenę, by go przyjąć. Jak można pogodzić tę pozorną sprzeczność między otrzymaniem czegoś w darze, a wysiłkiem niezbędnym do przyjęcia tego daru? Jak to możliwe, że dar - darmowy z definicji - jednak coś kosztował tego, kto go przyjmuje? Innymi słowy, skoro Kanaan był darem, dlaczego Izraelici musieli go mozolnie zdobywać?</w:t>
      </w:r>
    </w:p>
    <w:p w14:paraId="5EC53235"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Wiara, która staje się najlepiej zrozumiała, kiedy pojmuje się ją jako zaufanie, jest podstawą wyjaśnienia tego dylematu. W więzi ze swoimi stworzeniami Bóg zawsze pozostawia miejsce na zaufanie. W pewnym sensie zaufanie było zasadniczą kwestią od upadku pierwszych ludzi w Edenie. Podobnie jest zresztą między ludźmi. Bez zaufania nie może istnieć autentyczna więź. Gdyby Izraelici ufali Bogu, wrogo nastawieni do nich Kananejczycy zostaliby wygnani z kraju przy pomocy nadnaturalnych środków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23,28)</w:t>
      </w:r>
      <w:r w:rsidRPr="00641CF6">
        <w:rPr>
          <w:rFonts w:ascii="Times New Roman" w:hAnsi="Times New Roman"/>
          <w:sz w:val="20"/>
        </w:rPr>
        <w:t>. Brak zaufania okazany przez poprzednie pokolenie został wprost wytknięty przez Boga jako powód ich klęski: „</w:t>
      </w:r>
      <w:r w:rsidRPr="00641CF6">
        <w:rPr>
          <w:rFonts w:ascii="Times New Roman" w:hAnsi="Times New Roman"/>
          <w:color w:val="000000"/>
          <w:sz w:val="20"/>
        </w:rPr>
        <w:t>Wtedy rzekł Pan do Mojżesza: Jak długo znieważać mnie będzie ten lud? Jak długo nie będą mi wierzyć mimo wszystkich znaków, które wśród nich uczyniłem?</w:t>
      </w:r>
      <w:r w:rsidRPr="00641CF6">
        <w:rPr>
          <w:rFonts w:ascii="Times New Roman" w:hAnsi="Times New Roman"/>
          <w:sz w:val="20"/>
        </w:rPr>
        <w:t xml:space="preserve">” </w:t>
      </w:r>
      <w:r w:rsidRPr="00641CF6">
        <w:rPr>
          <w:rFonts w:ascii="Times New Roman" w:hAnsi="Times New Roman"/>
          <w:iCs/>
          <w:sz w:val="20"/>
        </w:rPr>
        <w:t>(Lb 14,11)</w:t>
      </w:r>
      <w:r w:rsidRPr="00641CF6">
        <w:rPr>
          <w:rFonts w:ascii="Times New Roman" w:hAnsi="Times New Roman"/>
          <w:sz w:val="20"/>
        </w:rPr>
        <w:t>.</w:t>
      </w:r>
    </w:p>
    <w:p w14:paraId="4E23F82A"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Minęło czterdzieści lat i wyrosło nowe pokolenie. Dla najmłodszych z nich niedawne przecież zwycięstwo nad </w:t>
      </w:r>
      <w:proofErr w:type="spellStart"/>
      <w:r w:rsidRPr="00641CF6">
        <w:rPr>
          <w:rFonts w:ascii="Times New Roman" w:hAnsi="Times New Roman"/>
          <w:sz w:val="20"/>
        </w:rPr>
        <w:t>Ogiem</w:t>
      </w:r>
      <w:proofErr w:type="spellEnd"/>
      <w:r w:rsidRPr="00641CF6">
        <w:rPr>
          <w:rFonts w:ascii="Times New Roman" w:hAnsi="Times New Roman"/>
          <w:sz w:val="20"/>
        </w:rPr>
        <w:t xml:space="preserve"> i </w:t>
      </w:r>
      <w:proofErr w:type="spellStart"/>
      <w:r w:rsidRPr="00641CF6">
        <w:rPr>
          <w:rFonts w:ascii="Times New Roman" w:hAnsi="Times New Roman"/>
          <w:sz w:val="20"/>
        </w:rPr>
        <w:t>Sychonem</w:t>
      </w:r>
      <w:proofErr w:type="spellEnd"/>
      <w:r w:rsidRPr="00641CF6">
        <w:rPr>
          <w:rFonts w:ascii="Times New Roman" w:hAnsi="Times New Roman"/>
          <w:sz w:val="20"/>
        </w:rPr>
        <w:t xml:space="preserve"> oraz cudowne zachowanie przy życiu Izraelitów podczas ich pobytu na pustyni stanowiło jedynie wspomnienie dość odległej przeszłości. Izraelici znowu znaleźli się na skrzyżowaniu dróg i raz jeszcze czekała ich próba - brak zaufania oznaczał brak kraju do zamieszkania.</w:t>
      </w:r>
    </w:p>
    <w:p w14:paraId="54F44616"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Tym razem zamiast dwunastu zwiadowców wysłano zaledwie dwóch. Wydaje się, że nie było istotnego powodu takiej zmiany, ale możemy się domyślić, że decydujące w tej kwestii było wspomnienie </w:t>
      </w:r>
      <w:proofErr w:type="spellStart"/>
      <w:r w:rsidRPr="00641CF6">
        <w:rPr>
          <w:rFonts w:ascii="Times New Roman" w:hAnsi="Times New Roman"/>
          <w:sz w:val="20"/>
        </w:rPr>
        <w:t>Kadesz-Barnea</w:t>
      </w:r>
      <w:proofErr w:type="spellEnd"/>
      <w:r w:rsidRPr="00641CF6">
        <w:rPr>
          <w:rFonts w:ascii="Times New Roman" w:hAnsi="Times New Roman"/>
          <w:sz w:val="20"/>
        </w:rPr>
        <w:t>, kiedy dwaj wierni zwiadowcy musieli się przeciwstawić dziesięciu niedowiarkom. Choć istnieją pewne podobieństwa między dwoma epizodami z udziałem zwiadowców, to jednak te dwa wydarzenia znacząco się różnią. Po pierwsze, tym razem dwaj zwiadowcy nie przynieśli żadnych materialnych dowodów, że kraj nadaje się do zamieszkania. Po drugie, nie ma wzmianki, by gruntownie przeszukali kraj. Po trzecie, więcej czasu spędzili ukrywając się niż szpiegując. Wreszcie, nie złożyli oni sprawozdania o kraju w kwestii jego ogólnych cech i przeszkód na drodze do zajęcia go. Zwiadowcy stwierdzili jedynie: „</w:t>
      </w:r>
      <w:r w:rsidRPr="00641CF6">
        <w:rPr>
          <w:rFonts w:ascii="Times New Roman" w:hAnsi="Times New Roman"/>
          <w:color w:val="000000"/>
          <w:sz w:val="20"/>
        </w:rPr>
        <w:t>Pan dał całą tę ziemię w nasze ręce</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2,24)</w:t>
      </w:r>
      <w:r w:rsidRPr="00641CF6">
        <w:rPr>
          <w:rFonts w:ascii="Times New Roman" w:hAnsi="Times New Roman"/>
          <w:sz w:val="20"/>
        </w:rPr>
        <w:t xml:space="preserve">. Co dawało im taką pewność? Jedyne, na co mogli się powołać, to świadectwo </w:t>
      </w:r>
      <w:proofErr w:type="spellStart"/>
      <w:r w:rsidRPr="00641CF6">
        <w:rPr>
          <w:rFonts w:ascii="Times New Roman" w:hAnsi="Times New Roman"/>
          <w:sz w:val="20"/>
        </w:rPr>
        <w:t>Rachab</w:t>
      </w:r>
      <w:proofErr w:type="spellEnd"/>
      <w:r w:rsidRPr="00641CF6">
        <w:rPr>
          <w:rFonts w:ascii="Times New Roman" w:hAnsi="Times New Roman"/>
          <w:sz w:val="20"/>
        </w:rPr>
        <w:t>. W gruncie rzeczy powtórzyli Jozuemu to, co usłyszeli od niej: „</w:t>
      </w:r>
      <w:r w:rsidRPr="00641CF6">
        <w:rPr>
          <w:rFonts w:ascii="Times New Roman" w:hAnsi="Times New Roman"/>
          <w:color w:val="000000"/>
          <w:sz w:val="20"/>
        </w:rPr>
        <w:t>Wiem, że Pan dał wam tę ziemię, gdyż padł na nas strach przed wami i wszyscy mieszkańcy tej ziemi drżą przed wami</w:t>
      </w:r>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2,9)</w:t>
      </w:r>
      <w:r w:rsidRPr="00641CF6">
        <w:rPr>
          <w:rFonts w:ascii="Times New Roman" w:hAnsi="Times New Roman"/>
          <w:sz w:val="20"/>
        </w:rPr>
        <w:t xml:space="preserve">. Słowa </w:t>
      </w:r>
      <w:proofErr w:type="spellStart"/>
      <w:r w:rsidRPr="00641CF6">
        <w:rPr>
          <w:rFonts w:ascii="Times New Roman" w:hAnsi="Times New Roman"/>
          <w:sz w:val="20"/>
        </w:rPr>
        <w:t>Rachab</w:t>
      </w:r>
      <w:proofErr w:type="spellEnd"/>
      <w:r w:rsidRPr="00641CF6">
        <w:rPr>
          <w:rFonts w:ascii="Times New Roman" w:hAnsi="Times New Roman"/>
          <w:sz w:val="20"/>
        </w:rPr>
        <w:t xml:space="preserve"> były zaś echem słów </w:t>
      </w:r>
      <w:proofErr w:type="spellStart"/>
      <w:r w:rsidRPr="00641CF6">
        <w:rPr>
          <w:rFonts w:ascii="Times New Roman" w:hAnsi="Times New Roman"/>
          <w:sz w:val="20"/>
        </w:rPr>
        <w:t>Jozuego</w:t>
      </w:r>
      <w:proofErr w:type="spellEnd"/>
      <w:r w:rsidRPr="00641CF6">
        <w:rPr>
          <w:rFonts w:ascii="Times New Roman" w:hAnsi="Times New Roman"/>
          <w:sz w:val="20"/>
        </w:rPr>
        <w:t xml:space="preserve"> i </w:t>
      </w:r>
      <w:proofErr w:type="spellStart"/>
      <w:r w:rsidRPr="00641CF6">
        <w:rPr>
          <w:rFonts w:ascii="Times New Roman" w:hAnsi="Times New Roman"/>
          <w:sz w:val="20"/>
        </w:rPr>
        <w:t>Kaleba</w:t>
      </w:r>
      <w:proofErr w:type="spellEnd"/>
      <w:r w:rsidRPr="00641CF6">
        <w:rPr>
          <w:rFonts w:ascii="Times New Roman" w:hAnsi="Times New Roman"/>
          <w:sz w:val="20"/>
        </w:rPr>
        <w:t>: „</w:t>
      </w:r>
      <w:r w:rsidRPr="00641CF6">
        <w:rPr>
          <w:rFonts w:ascii="Times New Roman" w:hAnsi="Times New Roman"/>
          <w:color w:val="000000"/>
          <w:sz w:val="20"/>
        </w:rPr>
        <w:t>Pan (...) da nam tę ziemię</w:t>
      </w:r>
      <w:r w:rsidRPr="00641CF6">
        <w:rPr>
          <w:rFonts w:ascii="Times New Roman" w:hAnsi="Times New Roman"/>
          <w:sz w:val="20"/>
        </w:rPr>
        <w:t>” (Lb 14,8).</w:t>
      </w:r>
    </w:p>
    <w:p w14:paraId="3A31AA3C"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Poprzednie pokolenie nie zaufało Bogu wbrew temu, co zobaczyli. Nowe pokolenie zaufało słysząc świadectwo kobiety wątpliwej reputacji. „Kluczową rolę w ich ucieczce i sprawozdaniu dotyczącym kraju i jego mieszkańców odegrała nierządnica </w:t>
      </w:r>
      <w:proofErr w:type="spellStart"/>
      <w:r w:rsidRPr="00641CF6">
        <w:rPr>
          <w:rFonts w:ascii="Times New Roman" w:hAnsi="Times New Roman"/>
          <w:sz w:val="20"/>
        </w:rPr>
        <w:t>Rachab</w:t>
      </w:r>
      <w:proofErr w:type="spellEnd"/>
      <w:r w:rsidRPr="00641CF6">
        <w:rPr>
          <w:rFonts w:ascii="Times New Roman" w:hAnsi="Times New Roman"/>
          <w:sz w:val="20"/>
        </w:rPr>
        <w:t xml:space="preserve">. </w:t>
      </w:r>
      <w:r w:rsidRPr="00641CF6">
        <w:rPr>
          <w:rFonts w:ascii="Times New Roman" w:hAnsi="Times New Roman"/>
          <w:sz w:val="20"/>
          <w:lang w:val="en-US"/>
        </w:rPr>
        <w:t xml:space="preserve">(...) </w:t>
      </w:r>
      <w:proofErr w:type="spellStart"/>
      <w:r w:rsidRPr="00641CF6">
        <w:rPr>
          <w:rFonts w:ascii="Times New Roman" w:hAnsi="Times New Roman"/>
          <w:sz w:val="20"/>
          <w:lang w:val="en-US"/>
        </w:rPr>
        <w:t>Spełniła</w:t>
      </w:r>
      <w:proofErr w:type="spellEnd"/>
      <w:r w:rsidRPr="00641CF6">
        <w:rPr>
          <w:rFonts w:ascii="Times New Roman" w:hAnsi="Times New Roman"/>
          <w:sz w:val="20"/>
          <w:lang w:val="en-US"/>
        </w:rPr>
        <w:t xml:space="preserve"> </w:t>
      </w:r>
      <w:proofErr w:type="spellStart"/>
      <w:r w:rsidRPr="00641CF6">
        <w:rPr>
          <w:rFonts w:ascii="Times New Roman" w:hAnsi="Times New Roman"/>
          <w:sz w:val="20"/>
          <w:lang w:val="en-US"/>
        </w:rPr>
        <w:t>rolę</w:t>
      </w:r>
      <w:proofErr w:type="spellEnd"/>
      <w:r w:rsidRPr="00641CF6">
        <w:rPr>
          <w:rFonts w:ascii="Times New Roman" w:hAnsi="Times New Roman"/>
          <w:sz w:val="20"/>
          <w:lang w:val="en-US"/>
        </w:rPr>
        <w:t xml:space="preserve"> </w:t>
      </w:r>
      <w:proofErr w:type="spellStart"/>
      <w:r w:rsidRPr="00641CF6">
        <w:rPr>
          <w:rFonts w:ascii="Times New Roman" w:hAnsi="Times New Roman"/>
          <w:sz w:val="20"/>
          <w:lang w:val="en-US"/>
        </w:rPr>
        <w:t>zarówno</w:t>
      </w:r>
      <w:proofErr w:type="spellEnd"/>
      <w:r w:rsidRPr="00641CF6">
        <w:rPr>
          <w:rFonts w:ascii="Times New Roman" w:hAnsi="Times New Roman"/>
          <w:sz w:val="20"/>
          <w:lang w:val="en-US"/>
        </w:rPr>
        <w:t xml:space="preserve"> </w:t>
      </w:r>
      <w:proofErr w:type="spellStart"/>
      <w:r w:rsidRPr="00641CF6">
        <w:rPr>
          <w:rFonts w:ascii="Times New Roman" w:hAnsi="Times New Roman"/>
          <w:sz w:val="20"/>
          <w:lang w:val="en-US"/>
        </w:rPr>
        <w:t>zbawicielki</w:t>
      </w:r>
      <w:proofErr w:type="spellEnd"/>
      <w:r w:rsidRPr="00641CF6">
        <w:rPr>
          <w:rFonts w:ascii="Times New Roman" w:hAnsi="Times New Roman"/>
          <w:sz w:val="20"/>
          <w:lang w:val="en-US"/>
        </w:rPr>
        <w:t xml:space="preserve"> jak i </w:t>
      </w:r>
      <w:proofErr w:type="spellStart"/>
      <w:r w:rsidRPr="00641CF6">
        <w:rPr>
          <w:rFonts w:ascii="Times New Roman" w:hAnsi="Times New Roman"/>
          <w:sz w:val="20"/>
          <w:lang w:val="en-US"/>
        </w:rPr>
        <w:t>wyroczni</w:t>
      </w:r>
      <w:proofErr w:type="spellEnd"/>
      <w:r w:rsidRPr="00641CF6">
        <w:rPr>
          <w:rFonts w:ascii="Times New Roman" w:hAnsi="Times New Roman"/>
          <w:sz w:val="20"/>
          <w:lang w:val="en-US"/>
        </w:rPr>
        <w:t xml:space="preserve">” (Phyllis A. </w:t>
      </w:r>
      <w:r w:rsidRPr="00641CF6">
        <w:rPr>
          <w:rFonts w:ascii="Times New Roman" w:hAnsi="Times New Roman"/>
          <w:sz w:val="20"/>
          <w:lang w:val="en-US"/>
        </w:rPr>
        <w:lastRenderedPageBreak/>
        <w:t xml:space="preserve">Bird, </w:t>
      </w:r>
      <w:r w:rsidRPr="00641CF6">
        <w:rPr>
          <w:rFonts w:ascii="Times New Roman" w:hAnsi="Times New Roman"/>
          <w:i/>
          <w:sz w:val="20"/>
          <w:lang w:val="en-US"/>
        </w:rPr>
        <w:t>The Harlot as Heroine: Narrative Art and Social Presupposition in Three Old Testament Texts</w:t>
      </w:r>
      <w:r w:rsidRPr="00641CF6">
        <w:rPr>
          <w:rFonts w:ascii="Times New Roman" w:hAnsi="Times New Roman"/>
          <w:sz w:val="20"/>
          <w:lang w:val="en-US"/>
        </w:rPr>
        <w:t>, „</w:t>
      </w:r>
      <w:r w:rsidRPr="00641CF6">
        <w:rPr>
          <w:rFonts w:ascii="Times New Roman" w:hAnsi="Times New Roman"/>
          <w:iCs/>
          <w:sz w:val="20"/>
          <w:lang w:val="en-US"/>
        </w:rPr>
        <w:t>Semeia”</w:t>
      </w:r>
      <w:r w:rsidRPr="00641CF6">
        <w:rPr>
          <w:rFonts w:ascii="Times New Roman" w:hAnsi="Times New Roman"/>
          <w:sz w:val="20"/>
          <w:lang w:val="en-US"/>
        </w:rPr>
        <w:t xml:space="preserve">, t. 46, 1989, s. 127). </w:t>
      </w:r>
      <w:r w:rsidRPr="00641CF6">
        <w:rPr>
          <w:rFonts w:ascii="Times New Roman" w:hAnsi="Times New Roman"/>
          <w:sz w:val="20"/>
        </w:rPr>
        <w:t xml:space="preserve">Ta dynamika wskazuje, że czterdzieści lat życia na pustyni nauczyło Izraelitów najważniejszej zdolności, jaką dane im było posiąść - zaufania do </w:t>
      </w:r>
      <w:proofErr w:type="spellStart"/>
      <w:r w:rsidRPr="00641CF6">
        <w:rPr>
          <w:rFonts w:ascii="Times New Roman" w:hAnsi="Times New Roman"/>
          <w:sz w:val="20"/>
        </w:rPr>
        <w:t>Jahwe</w:t>
      </w:r>
      <w:proofErr w:type="spellEnd"/>
      <w:r w:rsidRPr="00641CF6">
        <w:rPr>
          <w:rFonts w:ascii="Times New Roman" w:hAnsi="Times New Roman"/>
          <w:sz w:val="20"/>
        </w:rPr>
        <w:t>. Ta zdolność uczyniła ich niezwyciężonymi nawet wobec najpotężniejszych wrogów.</w:t>
      </w:r>
    </w:p>
    <w:p w14:paraId="1E5C9D62" w14:textId="77777777" w:rsidR="00AF2AD5" w:rsidRPr="00641CF6" w:rsidRDefault="00AF2AD5" w:rsidP="00AF2AD5">
      <w:pPr>
        <w:rPr>
          <w:rFonts w:ascii="Times New Roman" w:hAnsi="Times New Roman"/>
          <w:sz w:val="20"/>
        </w:rPr>
      </w:pPr>
    </w:p>
    <w:p w14:paraId="620E8D6B" w14:textId="77777777" w:rsidR="00AF2AD5" w:rsidRPr="00641CF6" w:rsidRDefault="00AF2AD5" w:rsidP="00AF2AD5">
      <w:pPr>
        <w:tabs>
          <w:tab w:val="left" w:pos="3686"/>
        </w:tabs>
        <w:rPr>
          <w:rFonts w:ascii="Times New Roman" w:hAnsi="Times New Roman"/>
          <w:b/>
          <w:bCs/>
          <w:sz w:val="20"/>
        </w:rPr>
      </w:pPr>
      <w:r w:rsidRPr="00641CF6">
        <w:rPr>
          <w:rFonts w:ascii="Times New Roman" w:hAnsi="Times New Roman"/>
          <w:b/>
          <w:bCs/>
          <w:sz w:val="20"/>
        </w:rPr>
        <w:t xml:space="preserve">Wiara </w:t>
      </w:r>
      <w:proofErr w:type="spellStart"/>
      <w:r w:rsidRPr="00641CF6">
        <w:rPr>
          <w:rFonts w:ascii="Times New Roman" w:hAnsi="Times New Roman"/>
          <w:b/>
          <w:bCs/>
          <w:sz w:val="20"/>
        </w:rPr>
        <w:t>Rachab</w:t>
      </w:r>
      <w:proofErr w:type="spellEnd"/>
      <w:r w:rsidRPr="00641CF6">
        <w:rPr>
          <w:rFonts w:ascii="Times New Roman" w:hAnsi="Times New Roman"/>
          <w:b/>
          <w:bCs/>
          <w:sz w:val="20"/>
        </w:rPr>
        <w:t xml:space="preserve"> i </w:t>
      </w:r>
      <w:proofErr w:type="spellStart"/>
      <w:r w:rsidRPr="00641CF6">
        <w:rPr>
          <w:rFonts w:ascii="Times New Roman" w:hAnsi="Times New Roman"/>
          <w:b/>
          <w:bCs/>
          <w:sz w:val="20"/>
        </w:rPr>
        <w:t>Gibeonitów</w:t>
      </w:r>
      <w:proofErr w:type="spellEnd"/>
    </w:p>
    <w:p w14:paraId="63543363" w14:textId="77777777" w:rsidR="00AF2AD5" w:rsidRPr="00641CF6" w:rsidRDefault="00AF2AD5" w:rsidP="00AF2AD5">
      <w:pPr>
        <w:tabs>
          <w:tab w:val="left" w:pos="3686"/>
          <w:tab w:val="left" w:pos="6804"/>
        </w:tabs>
        <w:rPr>
          <w:rFonts w:ascii="Times New Roman" w:hAnsi="Times New Roman"/>
          <w:bCs/>
          <w:sz w:val="20"/>
        </w:rPr>
      </w:pPr>
    </w:p>
    <w:p w14:paraId="30443DEC" w14:textId="77777777" w:rsidR="00AF2AD5" w:rsidRPr="00641CF6" w:rsidRDefault="00AF2AD5" w:rsidP="00AF2AD5">
      <w:pPr>
        <w:tabs>
          <w:tab w:val="left" w:pos="4111"/>
          <w:tab w:val="left" w:pos="7371"/>
        </w:tabs>
        <w:rPr>
          <w:rFonts w:ascii="Times New Roman" w:hAnsi="Times New Roman"/>
          <w:b/>
          <w:bCs/>
          <w:sz w:val="20"/>
        </w:rPr>
      </w:pPr>
      <w:r w:rsidRPr="00641CF6">
        <w:rPr>
          <w:rFonts w:ascii="Times New Roman" w:hAnsi="Times New Roman"/>
          <w:b/>
          <w:bCs/>
          <w:sz w:val="20"/>
        </w:rPr>
        <w:t>Elementy wiary</w:t>
      </w:r>
      <w:r w:rsidRPr="00641CF6">
        <w:rPr>
          <w:rFonts w:ascii="Times New Roman" w:hAnsi="Times New Roman"/>
          <w:b/>
          <w:bCs/>
          <w:sz w:val="20"/>
        </w:rPr>
        <w:tab/>
      </w:r>
      <w:proofErr w:type="spellStart"/>
      <w:r w:rsidRPr="00641CF6">
        <w:rPr>
          <w:rFonts w:ascii="Times New Roman" w:hAnsi="Times New Roman"/>
          <w:b/>
          <w:bCs/>
          <w:sz w:val="20"/>
        </w:rPr>
        <w:t>Rachab</w:t>
      </w:r>
      <w:proofErr w:type="spellEnd"/>
      <w:r w:rsidRPr="00641CF6">
        <w:rPr>
          <w:rFonts w:ascii="Times New Roman" w:hAnsi="Times New Roman"/>
          <w:b/>
          <w:bCs/>
          <w:sz w:val="20"/>
        </w:rPr>
        <w:tab/>
      </w:r>
      <w:proofErr w:type="spellStart"/>
      <w:r w:rsidRPr="00641CF6">
        <w:rPr>
          <w:rFonts w:ascii="Times New Roman" w:hAnsi="Times New Roman"/>
          <w:b/>
          <w:bCs/>
          <w:sz w:val="20"/>
        </w:rPr>
        <w:t>Gibeonici</w:t>
      </w:r>
      <w:proofErr w:type="spellEnd"/>
    </w:p>
    <w:p w14:paraId="45086239" w14:textId="77777777" w:rsidR="00AF2AD5" w:rsidRPr="00641CF6" w:rsidRDefault="00AF2AD5" w:rsidP="00AF2AD5">
      <w:pPr>
        <w:tabs>
          <w:tab w:val="left" w:pos="4111"/>
          <w:tab w:val="left" w:pos="7371"/>
        </w:tabs>
        <w:rPr>
          <w:rFonts w:ascii="Times New Roman" w:hAnsi="Times New Roman"/>
          <w:bCs/>
          <w:sz w:val="20"/>
        </w:rPr>
      </w:pPr>
      <w:r w:rsidRPr="00641CF6">
        <w:rPr>
          <w:rFonts w:ascii="Times New Roman" w:hAnsi="Times New Roman"/>
          <w:b/>
          <w:bCs/>
          <w:sz w:val="20"/>
        </w:rPr>
        <w:t>Podstawa</w:t>
      </w:r>
      <w:r w:rsidRPr="00641CF6">
        <w:rPr>
          <w:rFonts w:ascii="Times New Roman" w:hAnsi="Times New Roman"/>
          <w:bCs/>
          <w:sz w:val="20"/>
        </w:rPr>
        <w:tab/>
        <w:t>Słuchanie</w:t>
      </w:r>
      <w:r w:rsidRPr="00641CF6">
        <w:rPr>
          <w:rFonts w:ascii="Times New Roman" w:hAnsi="Times New Roman"/>
          <w:bCs/>
          <w:sz w:val="20"/>
        </w:rPr>
        <w:tab/>
      </w:r>
      <w:proofErr w:type="spellStart"/>
      <w:r w:rsidRPr="00641CF6">
        <w:rPr>
          <w:rFonts w:ascii="Times New Roman" w:hAnsi="Times New Roman"/>
          <w:bCs/>
          <w:sz w:val="20"/>
        </w:rPr>
        <w:t>Słuchanie</w:t>
      </w:r>
      <w:proofErr w:type="spellEnd"/>
    </w:p>
    <w:p w14:paraId="6DACF63A" w14:textId="77777777" w:rsidR="00AF2AD5" w:rsidRPr="00641CF6" w:rsidRDefault="00AF2AD5" w:rsidP="00AF2AD5">
      <w:pPr>
        <w:tabs>
          <w:tab w:val="left" w:pos="4111"/>
          <w:tab w:val="left" w:pos="7371"/>
        </w:tabs>
        <w:rPr>
          <w:rFonts w:ascii="Times New Roman" w:hAnsi="Times New Roman"/>
          <w:bCs/>
          <w:sz w:val="20"/>
        </w:rPr>
      </w:pPr>
      <w:r w:rsidRPr="00641CF6">
        <w:rPr>
          <w:rFonts w:ascii="Times New Roman" w:hAnsi="Times New Roman"/>
          <w:b/>
          <w:bCs/>
          <w:sz w:val="20"/>
        </w:rPr>
        <w:t>Środek</w:t>
      </w:r>
      <w:r w:rsidRPr="00641CF6">
        <w:rPr>
          <w:rFonts w:ascii="Times New Roman" w:hAnsi="Times New Roman"/>
          <w:bCs/>
          <w:sz w:val="20"/>
        </w:rPr>
        <w:tab/>
        <w:t>Fałsz</w:t>
      </w:r>
      <w:r w:rsidRPr="00641CF6">
        <w:rPr>
          <w:rFonts w:ascii="Times New Roman" w:hAnsi="Times New Roman"/>
          <w:bCs/>
          <w:sz w:val="20"/>
        </w:rPr>
        <w:tab/>
      </w:r>
      <w:proofErr w:type="spellStart"/>
      <w:r w:rsidRPr="00641CF6">
        <w:rPr>
          <w:rFonts w:ascii="Times New Roman" w:hAnsi="Times New Roman"/>
          <w:bCs/>
          <w:sz w:val="20"/>
        </w:rPr>
        <w:t>Fałsz</w:t>
      </w:r>
      <w:proofErr w:type="spellEnd"/>
    </w:p>
    <w:p w14:paraId="1F6F00E4" w14:textId="77777777" w:rsidR="00AF2AD5" w:rsidRPr="00641CF6" w:rsidRDefault="00AF2AD5" w:rsidP="00AF2AD5">
      <w:pPr>
        <w:tabs>
          <w:tab w:val="left" w:pos="4111"/>
          <w:tab w:val="left" w:pos="7371"/>
        </w:tabs>
        <w:rPr>
          <w:rFonts w:ascii="Times New Roman" w:hAnsi="Times New Roman"/>
          <w:bCs/>
          <w:sz w:val="20"/>
        </w:rPr>
      </w:pPr>
      <w:r w:rsidRPr="00641CF6">
        <w:rPr>
          <w:rFonts w:ascii="Times New Roman" w:hAnsi="Times New Roman"/>
          <w:b/>
          <w:bCs/>
          <w:sz w:val="20"/>
        </w:rPr>
        <w:t>Cel</w:t>
      </w:r>
      <w:r w:rsidRPr="00641CF6">
        <w:rPr>
          <w:rFonts w:ascii="Times New Roman" w:hAnsi="Times New Roman"/>
          <w:bCs/>
          <w:sz w:val="20"/>
        </w:rPr>
        <w:tab/>
        <w:t>Ratunek</w:t>
      </w:r>
      <w:r w:rsidRPr="00641CF6">
        <w:rPr>
          <w:rFonts w:ascii="Times New Roman" w:hAnsi="Times New Roman"/>
          <w:bCs/>
          <w:sz w:val="20"/>
        </w:rPr>
        <w:tab/>
      </w:r>
      <w:proofErr w:type="spellStart"/>
      <w:r w:rsidRPr="00641CF6">
        <w:rPr>
          <w:rFonts w:ascii="Times New Roman" w:hAnsi="Times New Roman"/>
          <w:bCs/>
          <w:sz w:val="20"/>
        </w:rPr>
        <w:t>Ratunek</w:t>
      </w:r>
      <w:proofErr w:type="spellEnd"/>
    </w:p>
    <w:p w14:paraId="0081DB03" w14:textId="77777777" w:rsidR="00AF2AD5" w:rsidRPr="00641CF6" w:rsidRDefault="00AF2AD5" w:rsidP="00AF2AD5">
      <w:pPr>
        <w:tabs>
          <w:tab w:val="left" w:pos="4111"/>
          <w:tab w:val="left" w:pos="7371"/>
        </w:tabs>
        <w:rPr>
          <w:rFonts w:ascii="Times New Roman" w:hAnsi="Times New Roman"/>
          <w:bCs/>
          <w:sz w:val="20"/>
        </w:rPr>
      </w:pPr>
      <w:r w:rsidRPr="00641CF6">
        <w:rPr>
          <w:rFonts w:ascii="Times New Roman" w:hAnsi="Times New Roman"/>
          <w:b/>
          <w:bCs/>
          <w:sz w:val="20"/>
        </w:rPr>
        <w:t>Bezpośredni skutek</w:t>
      </w:r>
      <w:r w:rsidRPr="00641CF6">
        <w:rPr>
          <w:rFonts w:ascii="Times New Roman" w:hAnsi="Times New Roman"/>
          <w:bCs/>
          <w:sz w:val="20"/>
        </w:rPr>
        <w:tab/>
        <w:t>Wybawienie</w:t>
      </w:r>
      <w:r w:rsidRPr="00641CF6">
        <w:rPr>
          <w:rFonts w:ascii="Times New Roman" w:hAnsi="Times New Roman"/>
          <w:bCs/>
          <w:sz w:val="20"/>
        </w:rPr>
        <w:tab/>
      </w:r>
      <w:proofErr w:type="spellStart"/>
      <w:r w:rsidRPr="00641CF6">
        <w:rPr>
          <w:rFonts w:ascii="Times New Roman" w:hAnsi="Times New Roman"/>
          <w:bCs/>
          <w:sz w:val="20"/>
        </w:rPr>
        <w:t>Wybawienie</w:t>
      </w:r>
      <w:proofErr w:type="spellEnd"/>
    </w:p>
    <w:p w14:paraId="10BBADB4" w14:textId="77777777" w:rsidR="00AF2AD5" w:rsidRPr="00641CF6" w:rsidRDefault="00AF2AD5" w:rsidP="00AF2AD5">
      <w:pPr>
        <w:tabs>
          <w:tab w:val="left" w:pos="4111"/>
          <w:tab w:val="left" w:pos="7371"/>
        </w:tabs>
        <w:rPr>
          <w:rFonts w:ascii="Times New Roman" w:hAnsi="Times New Roman"/>
          <w:bCs/>
          <w:sz w:val="20"/>
        </w:rPr>
      </w:pPr>
      <w:r w:rsidRPr="00641CF6">
        <w:rPr>
          <w:rFonts w:ascii="Times New Roman" w:hAnsi="Times New Roman"/>
          <w:b/>
          <w:bCs/>
          <w:sz w:val="20"/>
        </w:rPr>
        <w:t>Trwały skutek</w:t>
      </w:r>
      <w:r w:rsidRPr="00641CF6">
        <w:rPr>
          <w:rFonts w:ascii="Times New Roman" w:hAnsi="Times New Roman"/>
          <w:bCs/>
          <w:sz w:val="20"/>
        </w:rPr>
        <w:tab/>
        <w:t>Pełna przynależność</w:t>
      </w:r>
      <w:r w:rsidRPr="00641CF6">
        <w:rPr>
          <w:rFonts w:ascii="Times New Roman" w:hAnsi="Times New Roman"/>
          <w:bCs/>
          <w:sz w:val="20"/>
        </w:rPr>
        <w:tab/>
        <w:t>Służba</w:t>
      </w:r>
    </w:p>
    <w:p w14:paraId="0B037AEE" w14:textId="77777777" w:rsidR="00AF2AD5" w:rsidRPr="00641CF6" w:rsidRDefault="00AF2AD5" w:rsidP="00AF2AD5">
      <w:pPr>
        <w:rPr>
          <w:rFonts w:ascii="Times New Roman" w:hAnsi="Times New Roman"/>
          <w:bCs/>
          <w:sz w:val="20"/>
        </w:rPr>
      </w:pPr>
    </w:p>
    <w:p w14:paraId="1F8FC5B5" w14:textId="77777777" w:rsidR="00AF2AD5" w:rsidRPr="00641CF6" w:rsidRDefault="00AF2AD5" w:rsidP="00AF2AD5">
      <w:pPr>
        <w:rPr>
          <w:rFonts w:ascii="Times New Roman" w:hAnsi="Times New Roman"/>
          <w:bCs/>
          <w:sz w:val="20"/>
        </w:rPr>
      </w:pPr>
      <w:r w:rsidRPr="00641CF6">
        <w:rPr>
          <w:rFonts w:ascii="Times New Roman" w:hAnsi="Times New Roman"/>
          <w:bCs/>
          <w:sz w:val="20"/>
        </w:rPr>
        <w:t xml:space="preserve">Jak wskazuje powyższa tabela, pierwsze podobieństwo między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Gibeonitami</w:t>
      </w:r>
      <w:proofErr w:type="spellEnd"/>
      <w:r w:rsidRPr="00641CF6">
        <w:rPr>
          <w:rFonts w:ascii="Times New Roman" w:hAnsi="Times New Roman"/>
          <w:bCs/>
          <w:sz w:val="20"/>
        </w:rPr>
        <w:t xml:space="preserve"> polega na tym, że ich wiara opierała się na tym, co usłyszeli. Słuchanie o dokonaniach Boga w przeszłości dla dobra Jego ludu wystarczyło, by wywołać w nich pozytywną odpowiedź w postaci uległości, choć większość ich rodaków wolała uparcie trwać w oporze. W tej kwestii ich wiara zasługuje na uznanie zgodnie ze słowami Jezusa: „B</w:t>
      </w:r>
      <w:r w:rsidRPr="00641CF6">
        <w:rPr>
          <w:rFonts w:ascii="Times New Roman" w:hAnsi="Times New Roman"/>
          <w:color w:val="000000"/>
          <w:sz w:val="20"/>
        </w:rPr>
        <w:t>łogosławieni, którzy nie widzieli, a uwierzyli</w:t>
      </w:r>
      <w:r w:rsidRPr="00641CF6">
        <w:rPr>
          <w:rFonts w:ascii="Times New Roman" w:hAnsi="Times New Roman"/>
          <w:bCs/>
          <w:sz w:val="20"/>
        </w:rPr>
        <w:t xml:space="preserve">” (J 20,29). Postawy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Gibeonitów</w:t>
      </w:r>
      <w:proofErr w:type="spellEnd"/>
      <w:r w:rsidRPr="00641CF6">
        <w:rPr>
          <w:rFonts w:ascii="Times New Roman" w:hAnsi="Times New Roman"/>
          <w:bCs/>
          <w:sz w:val="20"/>
        </w:rPr>
        <w:t xml:space="preserve"> różnią się znacząco od postawy pierwszego pokolenia Izraelitów na pustyni - tych, którzy zobaczyli, ale nie uwierzyli.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Gibeonici</w:t>
      </w:r>
      <w:proofErr w:type="spellEnd"/>
      <w:r w:rsidRPr="00641CF6">
        <w:rPr>
          <w:rFonts w:ascii="Times New Roman" w:hAnsi="Times New Roman"/>
          <w:bCs/>
          <w:sz w:val="20"/>
        </w:rPr>
        <w:t xml:space="preserve"> usłyszeli i zareagowali stosownie do tego: „Zwątpiło serce nasze”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2,11)</w:t>
      </w:r>
      <w:r w:rsidRPr="00641CF6">
        <w:rPr>
          <w:rFonts w:ascii="Times New Roman" w:hAnsi="Times New Roman"/>
          <w:bCs/>
          <w:sz w:val="20"/>
        </w:rPr>
        <w:t xml:space="preserve">. To idiomatyczne wyrażenie oznacza lęk i jest użyte z wyprzedzeniem wobec Kananejczyków w pieśni Mojżesza </w:t>
      </w:r>
      <w:r w:rsidRPr="00641CF6">
        <w:rPr>
          <w:rFonts w:ascii="Times New Roman" w:hAnsi="Times New Roman"/>
          <w:iCs/>
          <w:sz w:val="20"/>
        </w:rPr>
        <w:t>(</w:t>
      </w:r>
      <w:proofErr w:type="spellStart"/>
      <w:r w:rsidRPr="00641CF6">
        <w:rPr>
          <w:rFonts w:ascii="Times New Roman" w:hAnsi="Times New Roman"/>
          <w:iCs/>
          <w:sz w:val="20"/>
        </w:rPr>
        <w:t>Wj</w:t>
      </w:r>
      <w:proofErr w:type="spellEnd"/>
      <w:r w:rsidRPr="00641CF6">
        <w:rPr>
          <w:rFonts w:ascii="Times New Roman" w:hAnsi="Times New Roman"/>
          <w:iCs/>
          <w:sz w:val="20"/>
        </w:rPr>
        <w:t> 15,15)</w:t>
      </w:r>
      <w:r w:rsidRPr="00641CF6">
        <w:rPr>
          <w:rFonts w:ascii="Times New Roman" w:hAnsi="Times New Roman"/>
          <w:bCs/>
          <w:sz w:val="20"/>
        </w:rPr>
        <w:t xml:space="preserve">, a także wobec Izraelitów słuchających sprawozdania dziesięciu niewiernych zwiadowców </w:t>
      </w:r>
      <w:r w:rsidRPr="00641CF6">
        <w:rPr>
          <w:rFonts w:ascii="Times New Roman" w:hAnsi="Times New Roman"/>
          <w:iCs/>
          <w:sz w:val="20"/>
        </w:rPr>
        <w:t>(</w:t>
      </w:r>
      <w:proofErr w:type="spellStart"/>
      <w:r w:rsidRPr="00641CF6">
        <w:rPr>
          <w:rFonts w:ascii="Times New Roman" w:hAnsi="Times New Roman"/>
          <w:iCs/>
          <w:sz w:val="20"/>
        </w:rPr>
        <w:t>Pwt</w:t>
      </w:r>
      <w:proofErr w:type="spellEnd"/>
      <w:r w:rsidRPr="00641CF6">
        <w:rPr>
          <w:rFonts w:ascii="Times New Roman" w:hAnsi="Times New Roman"/>
          <w:iCs/>
          <w:sz w:val="20"/>
        </w:rPr>
        <w:t> 1,28)</w:t>
      </w:r>
      <w:r w:rsidRPr="00641CF6">
        <w:rPr>
          <w:rFonts w:ascii="Times New Roman" w:hAnsi="Times New Roman"/>
          <w:bCs/>
          <w:sz w:val="20"/>
        </w:rPr>
        <w:t xml:space="preserve">, jak również wobec mieszkańców kraju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2,9) </w:t>
      </w:r>
      <w:r w:rsidRPr="00641CF6">
        <w:rPr>
          <w:rFonts w:ascii="Times New Roman" w:hAnsi="Times New Roman"/>
          <w:bCs/>
          <w:sz w:val="20"/>
        </w:rPr>
        <w:t xml:space="preserve">i jego królów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5,1)</w:t>
      </w:r>
      <w:r w:rsidRPr="00641CF6">
        <w:rPr>
          <w:rFonts w:ascii="Times New Roman" w:hAnsi="Times New Roman"/>
          <w:bCs/>
          <w:sz w:val="20"/>
        </w:rPr>
        <w:t xml:space="preserve">, wreszcie wobec nieposłusznych Izraelitów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7,5)</w:t>
      </w:r>
      <w:r w:rsidRPr="00641CF6">
        <w:rPr>
          <w:rFonts w:ascii="Times New Roman" w:hAnsi="Times New Roman"/>
          <w:bCs/>
          <w:sz w:val="20"/>
        </w:rPr>
        <w:t xml:space="preserve">. Ponadto słowa użyte przez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świadczą, że rozumiała ona religijny charakter zbliżającej się wojny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2,10)</w:t>
      </w:r>
      <w:r w:rsidRPr="00641CF6">
        <w:rPr>
          <w:rFonts w:ascii="Times New Roman" w:hAnsi="Times New Roman"/>
          <w:bCs/>
          <w:sz w:val="20"/>
        </w:rPr>
        <w:t xml:space="preserve">. Czasownik </w:t>
      </w:r>
      <w:r w:rsidRPr="00641CF6">
        <w:rPr>
          <w:rFonts w:ascii="Times New Roman" w:hAnsi="Times New Roman"/>
          <w:bCs/>
          <w:i/>
          <w:iCs/>
          <w:sz w:val="20"/>
        </w:rPr>
        <w:t>haram</w:t>
      </w:r>
      <w:r w:rsidRPr="00641CF6">
        <w:rPr>
          <w:rFonts w:ascii="Times New Roman" w:hAnsi="Times New Roman"/>
          <w:bCs/>
          <w:sz w:val="20"/>
        </w:rPr>
        <w:t xml:space="preserve"> („zniszczyć zupełnie”) występujący w mowie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oznacza rzecz lub osobę przeznaczoną przez Boga na zniszczenie. Koncepcja ta była szeroko znana na starożytnym bliskim wschodzie, o czym świadczą źródła pozabiblijne.</w:t>
      </w:r>
    </w:p>
    <w:p w14:paraId="69A0664A" w14:textId="06E7A284" w:rsidR="00AF2AD5" w:rsidRPr="00641CF6" w:rsidRDefault="00AF2AD5" w:rsidP="00AF2AD5">
      <w:pPr>
        <w:rPr>
          <w:rFonts w:ascii="Times New Roman" w:hAnsi="Times New Roman"/>
          <w:bCs/>
          <w:sz w:val="20"/>
        </w:rPr>
      </w:pP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i </w:t>
      </w:r>
      <w:proofErr w:type="spellStart"/>
      <w:r w:rsidRPr="00641CF6">
        <w:rPr>
          <w:rFonts w:ascii="Times New Roman" w:hAnsi="Times New Roman"/>
          <w:bCs/>
          <w:sz w:val="20"/>
        </w:rPr>
        <w:t>Gibeonici</w:t>
      </w:r>
      <w:proofErr w:type="spellEnd"/>
      <w:r w:rsidRPr="00641CF6">
        <w:rPr>
          <w:rFonts w:ascii="Times New Roman" w:hAnsi="Times New Roman"/>
          <w:bCs/>
          <w:sz w:val="20"/>
        </w:rPr>
        <w:t xml:space="preserve"> okazali swoją wiarę przy pomocy nietypowych środków.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skłamała, by ocalić zwiadowców, a </w:t>
      </w:r>
      <w:proofErr w:type="spellStart"/>
      <w:r w:rsidRPr="00641CF6">
        <w:rPr>
          <w:rFonts w:ascii="Times New Roman" w:hAnsi="Times New Roman"/>
          <w:bCs/>
          <w:sz w:val="20"/>
        </w:rPr>
        <w:t>Gibeonici</w:t>
      </w:r>
      <w:proofErr w:type="spellEnd"/>
      <w:r w:rsidRPr="00641CF6">
        <w:rPr>
          <w:rFonts w:ascii="Times New Roman" w:hAnsi="Times New Roman"/>
          <w:bCs/>
          <w:sz w:val="20"/>
        </w:rPr>
        <w:t xml:space="preserve"> - by chronić siebie. Niezależnie od tego, co motywowało ich działania, z pewnością wierzyli oni, że Bóg wypełni swoje obietnice wobec Izraela. Choć nie powinniśmy się spodziewać zbyt wiele po Kananejczykach w kwestii moralności, postawa </w:t>
      </w:r>
      <w:proofErr w:type="spellStart"/>
      <w:r w:rsidRPr="00641CF6">
        <w:rPr>
          <w:rFonts w:ascii="Times New Roman" w:hAnsi="Times New Roman"/>
          <w:bCs/>
          <w:sz w:val="20"/>
        </w:rPr>
        <w:t>Gibeonitów</w:t>
      </w:r>
      <w:proofErr w:type="spellEnd"/>
      <w:r w:rsidRPr="00641CF6">
        <w:rPr>
          <w:rFonts w:ascii="Times New Roman" w:hAnsi="Times New Roman"/>
          <w:bCs/>
          <w:sz w:val="20"/>
        </w:rPr>
        <w:t xml:space="preserve"> jest postrzegana dość krytycznie. Według autora, postępowali oni przebiegle </w:t>
      </w:r>
      <w:r w:rsidRPr="00641CF6">
        <w:rPr>
          <w:rFonts w:ascii="Times New Roman" w:hAnsi="Times New Roman"/>
          <w:sz w:val="20"/>
        </w:rPr>
        <w:t>(</w:t>
      </w:r>
      <w:proofErr w:type="spellStart"/>
      <w:r w:rsidRPr="00641CF6">
        <w:rPr>
          <w:rFonts w:ascii="Times New Roman" w:hAnsi="Times New Roman"/>
          <w:i/>
          <w:iCs/>
          <w:sz w:val="20"/>
        </w:rPr>
        <w:t>armah</w:t>
      </w:r>
      <w:proofErr w:type="spellEnd"/>
      <w:r w:rsidRPr="00641CF6">
        <w:rPr>
          <w:rFonts w:ascii="Times New Roman" w:hAnsi="Times New Roman"/>
          <w:sz w:val="20"/>
        </w:rPr>
        <w:t>)</w:t>
      </w:r>
      <w:r w:rsidRPr="00641CF6">
        <w:rPr>
          <w:rFonts w:ascii="Times New Roman" w:hAnsi="Times New Roman"/>
          <w:bCs/>
          <w:sz w:val="20"/>
        </w:rPr>
        <w:t>. Podobne hebrajskie słowo zostało użyte w opisie postępowania węża w</w:t>
      </w:r>
      <w:r w:rsidR="00457C31">
        <w:rPr>
          <w:rFonts w:ascii="Times New Roman" w:hAnsi="Times New Roman"/>
          <w:bCs/>
          <w:sz w:val="20"/>
        </w:rPr>
        <w:t> </w:t>
      </w:r>
      <w:r w:rsidRPr="00641CF6">
        <w:rPr>
          <w:rFonts w:ascii="Times New Roman" w:hAnsi="Times New Roman"/>
          <w:bCs/>
          <w:sz w:val="20"/>
        </w:rPr>
        <w:t xml:space="preserve">Rdz 3. W przeciwieństwie do spontanicznego kłamstwa </w:t>
      </w:r>
      <w:proofErr w:type="spellStart"/>
      <w:r w:rsidRPr="00641CF6">
        <w:rPr>
          <w:rFonts w:ascii="Times New Roman" w:hAnsi="Times New Roman"/>
          <w:bCs/>
          <w:sz w:val="20"/>
        </w:rPr>
        <w:t>Rachab</w:t>
      </w:r>
      <w:proofErr w:type="spellEnd"/>
      <w:r w:rsidRPr="00641CF6">
        <w:rPr>
          <w:rFonts w:ascii="Times New Roman" w:hAnsi="Times New Roman"/>
          <w:bCs/>
          <w:sz w:val="20"/>
        </w:rPr>
        <w:t xml:space="preserve">, plan </w:t>
      </w:r>
      <w:proofErr w:type="spellStart"/>
      <w:r w:rsidRPr="00641CF6">
        <w:rPr>
          <w:rFonts w:ascii="Times New Roman" w:hAnsi="Times New Roman"/>
          <w:bCs/>
          <w:sz w:val="20"/>
        </w:rPr>
        <w:t>Gibeonitów</w:t>
      </w:r>
      <w:proofErr w:type="spellEnd"/>
      <w:r w:rsidRPr="00641CF6">
        <w:rPr>
          <w:rFonts w:ascii="Times New Roman" w:hAnsi="Times New Roman"/>
          <w:bCs/>
          <w:sz w:val="20"/>
        </w:rPr>
        <w:t xml:space="preserve"> był wykalkulowany i</w:t>
      </w:r>
      <w:r w:rsidR="00457C31">
        <w:rPr>
          <w:rFonts w:ascii="Times New Roman" w:hAnsi="Times New Roman"/>
          <w:bCs/>
          <w:sz w:val="20"/>
        </w:rPr>
        <w:t> </w:t>
      </w:r>
      <w:r w:rsidRPr="00641CF6">
        <w:rPr>
          <w:rFonts w:ascii="Times New Roman" w:hAnsi="Times New Roman"/>
          <w:bCs/>
          <w:sz w:val="20"/>
        </w:rPr>
        <w:t>aktorsko zrealizowany.</w:t>
      </w:r>
    </w:p>
    <w:p w14:paraId="4981098C" w14:textId="77777777" w:rsidR="00AF2AD5" w:rsidRPr="00641CF6" w:rsidRDefault="00AF2AD5" w:rsidP="00AF2AD5">
      <w:pPr>
        <w:rPr>
          <w:rFonts w:ascii="Times New Roman" w:hAnsi="Times New Roman"/>
          <w:bCs/>
          <w:sz w:val="20"/>
        </w:rPr>
      </w:pPr>
      <w:r w:rsidRPr="00641CF6">
        <w:rPr>
          <w:rFonts w:ascii="Times New Roman" w:hAnsi="Times New Roman"/>
          <w:bCs/>
          <w:sz w:val="20"/>
        </w:rPr>
        <w:t xml:space="preserve">Trzecia paralela dotyczy motywacji. W obu przypadkach motywacją było uniknięcie nadchodzącej zagłady. W tych pierwszych etapach ich wiara była egocentryczna, nakierowana na doraźne rozwiązanie aktualnego problemu. Na tym poziomie ich wiara nie sięgała poza horyzont. Była podbudowana lękiem, a nie miłością </w:t>
      </w:r>
      <w:r w:rsidRPr="00641CF6">
        <w:rPr>
          <w:rFonts w:ascii="Times New Roman" w:hAnsi="Times New Roman"/>
          <w:iCs/>
          <w:sz w:val="20"/>
        </w:rPr>
        <w:t>(</w:t>
      </w:r>
      <w:proofErr w:type="spellStart"/>
      <w:r w:rsidRPr="00641CF6">
        <w:rPr>
          <w:rFonts w:ascii="Times New Roman" w:hAnsi="Times New Roman"/>
          <w:iCs/>
          <w:sz w:val="20"/>
        </w:rPr>
        <w:t>Joz</w:t>
      </w:r>
      <w:proofErr w:type="spellEnd"/>
      <w:r w:rsidRPr="00641CF6">
        <w:rPr>
          <w:rFonts w:ascii="Times New Roman" w:hAnsi="Times New Roman"/>
          <w:iCs/>
          <w:sz w:val="20"/>
        </w:rPr>
        <w:t> 9,24)</w:t>
      </w:r>
      <w:r w:rsidRPr="00641CF6">
        <w:rPr>
          <w:rFonts w:ascii="Times New Roman" w:hAnsi="Times New Roman"/>
          <w:bCs/>
          <w:sz w:val="20"/>
        </w:rPr>
        <w:t xml:space="preserve">. Taka wiara jest w pewnym stopniu targowaniem się z Bogiem. Pragmatyczny aspekt tej wiary jako swego rodzaju umowy jest podkreślony przez użycie słowa </w:t>
      </w:r>
      <w:proofErr w:type="spellStart"/>
      <w:r w:rsidRPr="00641CF6">
        <w:rPr>
          <w:rFonts w:ascii="Times New Roman" w:hAnsi="Times New Roman"/>
          <w:i/>
          <w:sz w:val="20"/>
        </w:rPr>
        <w:t>ḥeseḏ</w:t>
      </w:r>
      <w:proofErr w:type="spellEnd"/>
      <w:r w:rsidRPr="00641CF6">
        <w:rPr>
          <w:rFonts w:ascii="Times New Roman" w:hAnsi="Times New Roman"/>
          <w:bCs/>
          <w:sz w:val="20"/>
        </w:rPr>
        <w:t xml:space="preserve">. W świeckim znaczeniu słowo to często odnosi się do tego rodzaju transakcji, w których „ten, kto otrzymuje akt </w:t>
      </w:r>
      <w:proofErr w:type="spellStart"/>
      <w:r w:rsidRPr="00641CF6">
        <w:rPr>
          <w:rFonts w:ascii="Times New Roman" w:hAnsi="Times New Roman"/>
          <w:i/>
          <w:sz w:val="20"/>
        </w:rPr>
        <w:t>ḥeseḏ</w:t>
      </w:r>
      <w:proofErr w:type="spellEnd"/>
      <w:r w:rsidRPr="00641CF6">
        <w:rPr>
          <w:rFonts w:ascii="Times New Roman" w:hAnsi="Times New Roman"/>
          <w:bCs/>
          <w:sz w:val="20"/>
        </w:rPr>
        <w:t xml:space="preserve">, odpowiada podobnym aktem </w:t>
      </w:r>
      <w:proofErr w:type="spellStart"/>
      <w:r w:rsidRPr="00641CF6">
        <w:rPr>
          <w:rFonts w:ascii="Times New Roman" w:hAnsi="Times New Roman"/>
          <w:i/>
          <w:sz w:val="20"/>
        </w:rPr>
        <w:t>ḥeseḏ</w:t>
      </w:r>
      <w:proofErr w:type="spellEnd"/>
      <w:r w:rsidRPr="00641CF6">
        <w:rPr>
          <w:rFonts w:ascii="Times New Roman" w:hAnsi="Times New Roman"/>
          <w:bCs/>
          <w:sz w:val="20"/>
        </w:rPr>
        <w:t xml:space="preserve">, a przynajmniej ten, kto </w:t>
      </w:r>
      <w:proofErr w:type="spellStart"/>
      <w:r w:rsidRPr="00641CF6">
        <w:rPr>
          <w:rFonts w:ascii="Times New Roman" w:hAnsi="Times New Roman"/>
          <w:bCs/>
          <w:sz w:val="20"/>
        </w:rPr>
        <w:t>okauje</w:t>
      </w:r>
      <w:proofErr w:type="spellEnd"/>
      <w:r w:rsidRPr="00641CF6">
        <w:rPr>
          <w:rFonts w:ascii="Times New Roman" w:hAnsi="Times New Roman"/>
          <w:bCs/>
          <w:sz w:val="20"/>
        </w:rPr>
        <w:t xml:space="preserve"> </w:t>
      </w:r>
      <w:proofErr w:type="spellStart"/>
      <w:r w:rsidRPr="00641CF6">
        <w:rPr>
          <w:rFonts w:ascii="Times New Roman" w:hAnsi="Times New Roman"/>
          <w:i/>
          <w:sz w:val="20"/>
        </w:rPr>
        <w:t>ḥeseḏ</w:t>
      </w:r>
      <w:proofErr w:type="spellEnd"/>
      <w:r w:rsidRPr="00641CF6">
        <w:rPr>
          <w:rFonts w:ascii="Times New Roman" w:hAnsi="Times New Roman"/>
          <w:bCs/>
          <w:sz w:val="20"/>
        </w:rPr>
        <w:t>, słusznie może oczekiwać podobnego aktu w zamian” (</w:t>
      </w:r>
      <w:r w:rsidRPr="00641CF6">
        <w:rPr>
          <w:rFonts w:ascii="Times New Roman" w:hAnsi="Times New Roman"/>
          <w:sz w:val="20"/>
        </w:rPr>
        <w:t>Hans-</w:t>
      </w:r>
      <w:proofErr w:type="spellStart"/>
      <w:r w:rsidRPr="00641CF6">
        <w:rPr>
          <w:rFonts w:ascii="Times New Roman" w:hAnsi="Times New Roman"/>
          <w:sz w:val="20"/>
        </w:rPr>
        <w:t>Jürgen</w:t>
      </w:r>
      <w:proofErr w:type="spellEnd"/>
      <w:r w:rsidRPr="00641CF6">
        <w:rPr>
          <w:rFonts w:ascii="Times New Roman" w:hAnsi="Times New Roman"/>
          <w:sz w:val="20"/>
        </w:rPr>
        <w:t xml:space="preserve"> </w:t>
      </w:r>
      <w:proofErr w:type="spellStart"/>
      <w:r w:rsidRPr="00641CF6">
        <w:rPr>
          <w:rFonts w:ascii="Times New Roman" w:hAnsi="Times New Roman"/>
          <w:sz w:val="20"/>
        </w:rPr>
        <w:t>Zobel</w:t>
      </w:r>
      <w:proofErr w:type="spellEnd"/>
      <w:r w:rsidRPr="00641CF6">
        <w:rPr>
          <w:rFonts w:ascii="Times New Roman" w:hAnsi="Times New Roman"/>
          <w:sz w:val="20"/>
        </w:rPr>
        <w:t>, „</w:t>
      </w:r>
      <w:r w:rsidRPr="00641CF6">
        <w:rPr>
          <w:rFonts w:ascii="Times New Roman" w:hAnsi="Times New Roman"/>
          <w:sz w:val="20"/>
          <w:rtl/>
          <w:lang w:bidi="he-IL"/>
        </w:rPr>
        <w:t>חֶסֶד</w:t>
      </w:r>
      <w:r w:rsidRPr="00641CF6">
        <w:rPr>
          <w:rFonts w:ascii="Times New Roman" w:hAnsi="Times New Roman"/>
          <w:sz w:val="20"/>
        </w:rPr>
        <w:t xml:space="preserve">”, </w:t>
      </w:r>
      <w:proofErr w:type="spellStart"/>
      <w:r w:rsidRPr="00641CF6">
        <w:rPr>
          <w:rFonts w:ascii="Times New Roman" w:hAnsi="Times New Roman"/>
          <w:i/>
          <w:iCs/>
          <w:sz w:val="20"/>
        </w:rPr>
        <w:t>Theological</w:t>
      </w:r>
      <w:proofErr w:type="spellEnd"/>
      <w:r w:rsidRPr="00641CF6">
        <w:rPr>
          <w:rFonts w:ascii="Times New Roman" w:hAnsi="Times New Roman"/>
          <w:i/>
          <w:iCs/>
          <w:sz w:val="20"/>
        </w:rPr>
        <w:t xml:space="preserve"> Dictionary of the </w:t>
      </w:r>
      <w:proofErr w:type="spellStart"/>
      <w:r w:rsidRPr="00641CF6">
        <w:rPr>
          <w:rFonts w:ascii="Times New Roman" w:hAnsi="Times New Roman"/>
          <w:i/>
          <w:iCs/>
          <w:sz w:val="20"/>
        </w:rPr>
        <w:t>Old</w:t>
      </w:r>
      <w:proofErr w:type="spellEnd"/>
      <w:r w:rsidRPr="00641CF6">
        <w:rPr>
          <w:rFonts w:ascii="Times New Roman" w:hAnsi="Times New Roman"/>
          <w:i/>
          <w:iCs/>
          <w:sz w:val="20"/>
        </w:rPr>
        <w:t xml:space="preserve"> Testament</w:t>
      </w:r>
      <w:r w:rsidRPr="00641CF6">
        <w:rPr>
          <w:rFonts w:ascii="Times New Roman" w:hAnsi="Times New Roman"/>
          <w:sz w:val="20"/>
        </w:rPr>
        <w:t>, Grand Rapids 1986, s. 18</w:t>
      </w:r>
      <w:r w:rsidRPr="00641CF6">
        <w:rPr>
          <w:rFonts w:ascii="Times New Roman" w:hAnsi="Times New Roman"/>
          <w:bCs/>
          <w:sz w:val="20"/>
        </w:rPr>
        <w:t>).</w:t>
      </w:r>
    </w:p>
    <w:p w14:paraId="76582E27"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Paralele czwarta i piąta dotyczą skutków ich decyzji. </w:t>
      </w:r>
      <w:proofErr w:type="spellStart"/>
      <w:r w:rsidRPr="00641CF6">
        <w:rPr>
          <w:rFonts w:ascii="Times New Roman" w:hAnsi="Times New Roman"/>
          <w:sz w:val="20"/>
        </w:rPr>
        <w:t>Rachab</w:t>
      </w:r>
      <w:proofErr w:type="spellEnd"/>
      <w:r w:rsidRPr="00641CF6">
        <w:rPr>
          <w:rFonts w:ascii="Times New Roman" w:hAnsi="Times New Roman"/>
          <w:sz w:val="20"/>
        </w:rPr>
        <w:t xml:space="preserve"> otrzymała gwarancję, że ona i jej domownicy zostaną ocaleni. Podobnie jak Izraelici podczas ostatniej plagi, </w:t>
      </w:r>
      <w:proofErr w:type="spellStart"/>
      <w:r w:rsidRPr="00641CF6">
        <w:rPr>
          <w:rFonts w:ascii="Times New Roman" w:hAnsi="Times New Roman"/>
          <w:sz w:val="20"/>
        </w:rPr>
        <w:t>Rachab</w:t>
      </w:r>
      <w:proofErr w:type="spellEnd"/>
      <w:r w:rsidRPr="00641CF6">
        <w:rPr>
          <w:rFonts w:ascii="Times New Roman" w:hAnsi="Times New Roman"/>
          <w:sz w:val="20"/>
        </w:rPr>
        <w:t xml:space="preserve"> miała się posłużyć wizualnym znakiem - czerwonym sznurem wywieszonym z okna, przypuszczalnie tego samego, przez które </w:t>
      </w:r>
      <w:proofErr w:type="spellStart"/>
      <w:r w:rsidRPr="00641CF6">
        <w:rPr>
          <w:rFonts w:ascii="Times New Roman" w:hAnsi="Times New Roman"/>
          <w:sz w:val="20"/>
        </w:rPr>
        <w:t>Rachab</w:t>
      </w:r>
      <w:proofErr w:type="spellEnd"/>
      <w:r w:rsidRPr="00641CF6">
        <w:rPr>
          <w:rFonts w:ascii="Times New Roman" w:hAnsi="Times New Roman"/>
          <w:sz w:val="20"/>
        </w:rPr>
        <w:t xml:space="preserve"> wyekspediowała zwiadowców na linie poza mur miasta. Jednak ratunek dla </w:t>
      </w:r>
      <w:proofErr w:type="spellStart"/>
      <w:r w:rsidRPr="00641CF6">
        <w:rPr>
          <w:rFonts w:ascii="Times New Roman" w:hAnsi="Times New Roman"/>
          <w:sz w:val="20"/>
        </w:rPr>
        <w:t>Rachab</w:t>
      </w:r>
      <w:proofErr w:type="spellEnd"/>
      <w:r w:rsidRPr="00641CF6">
        <w:rPr>
          <w:rFonts w:ascii="Times New Roman" w:hAnsi="Times New Roman"/>
          <w:sz w:val="20"/>
        </w:rPr>
        <w:t xml:space="preserve"> i jej bliskich był Bożym dokonaniem. Skoro mury Jerycha upadły nietknięte ludzką ręką, Bóg musiał ocalić ten ich fragment, w którym znajdował się dom </w:t>
      </w:r>
      <w:proofErr w:type="spellStart"/>
      <w:r w:rsidRPr="00641CF6">
        <w:rPr>
          <w:rFonts w:ascii="Times New Roman" w:hAnsi="Times New Roman"/>
          <w:sz w:val="20"/>
        </w:rPr>
        <w:t>Rachab</w:t>
      </w:r>
      <w:proofErr w:type="spellEnd"/>
      <w:r w:rsidRPr="00641CF6">
        <w:rPr>
          <w:rFonts w:ascii="Times New Roman" w:hAnsi="Times New Roman"/>
          <w:sz w:val="20"/>
        </w:rPr>
        <w:t xml:space="preserve">. Z drugiej strony, </w:t>
      </w:r>
      <w:proofErr w:type="spellStart"/>
      <w:r w:rsidRPr="00641CF6">
        <w:rPr>
          <w:rFonts w:ascii="Times New Roman" w:hAnsi="Times New Roman"/>
          <w:sz w:val="20"/>
        </w:rPr>
        <w:t>Gibeonici</w:t>
      </w:r>
      <w:proofErr w:type="spellEnd"/>
      <w:r w:rsidRPr="00641CF6">
        <w:rPr>
          <w:rFonts w:ascii="Times New Roman" w:hAnsi="Times New Roman"/>
          <w:sz w:val="20"/>
        </w:rPr>
        <w:t xml:space="preserve"> zapewnili sobie nietykalność. Udało się im uzyskać bezpieczeństwo, o które zabiegali, kiedy koalicja kananejskich królów wyruszyła przeciwko </w:t>
      </w:r>
      <w:proofErr w:type="spellStart"/>
      <w:r w:rsidRPr="00641CF6">
        <w:rPr>
          <w:rFonts w:ascii="Times New Roman" w:hAnsi="Times New Roman"/>
          <w:sz w:val="20"/>
        </w:rPr>
        <w:t>Gibeonowi</w:t>
      </w:r>
      <w:proofErr w:type="spellEnd"/>
      <w:r w:rsidRPr="00641CF6">
        <w:rPr>
          <w:rFonts w:ascii="Times New Roman" w:hAnsi="Times New Roman"/>
          <w:sz w:val="20"/>
        </w:rPr>
        <w:t xml:space="preserve"> w </w:t>
      </w:r>
      <w:proofErr w:type="spellStart"/>
      <w:r w:rsidRPr="00641CF6">
        <w:rPr>
          <w:rFonts w:ascii="Times New Roman" w:hAnsi="Times New Roman"/>
          <w:sz w:val="20"/>
        </w:rPr>
        <w:t>Joz</w:t>
      </w:r>
      <w:proofErr w:type="spellEnd"/>
      <w:r w:rsidRPr="00641CF6">
        <w:rPr>
          <w:rFonts w:ascii="Times New Roman" w:hAnsi="Times New Roman"/>
          <w:sz w:val="20"/>
        </w:rPr>
        <w:t xml:space="preserve"> 10. Obrona </w:t>
      </w:r>
      <w:proofErr w:type="spellStart"/>
      <w:r w:rsidRPr="00641CF6">
        <w:rPr>
          <w:rFonts w:ascii="Times New Roman" w:hAnsi="Times New Roman"/>
          <w:sz w:val="20"/>
        </w:rPr>
        <w:t>Gibeonu</w:t>
      </w:r>
      <w:proofErr w:type="spellEnd"/>
      <w:r w:rsidRPr="00641CF6">
        <w:rPr>
          <w:rFonts w:ascii="Times New Roman" w:hAnsi="Times New Roman"/>
          <w:sz w:val="20"/>
        </w:rPr>
        <w:t xml:space="preserve"> rozpoczęła kampanię militarną, w wyniku której upadł szereg kananejskich miast. Ostatecznie zwodniczy plan </w:t>
      </w:r>
      <w:proofErr w:type="spellStart"/>
      <w:r w:rsidRPr="00641CF6">
        <w:rPr>
          <w:rFonts w:ascii="Times New Roman" w:hAnsi="Times New Roman"/>
          <w:sz w:val="20"/>
        </w:rPr>
        <w:t>Gibeonitów</w:t>
      </w:r>
      <w:proofErr w:type="spellEnd"/>
      <w:r w:rsidRPr="00641CF6">
        <w:rPr>
          <w:rFonts w:ascii="Times New Roman" w:hAnsi="Times New Roman"/>
          <w:sz w:val="20"/>
        </w:rPr>
        <w:t xml:space="preserve"> został użyty przez Boga dla realizacji Jego celów związanych z podbojem kraju. Jednak długoterminowy skutek był nieco odmienny. Podczas gdy </w:t>
      </w:r>
      <w:proofErr w:type="spellStart"/>
      <w:r w:rsidRPr="00641CF6">
        <w:rPr>
          <w:rFonts w:ascii="Times New Roman" w:hAnsi="Times New Roman"/>
          <w:sz w:val="20"/>
        </w:rPr>
        <w:t>Rachab</w:t>
      </w:r>
      <w:proofErr w:type="spellEnd"/>
      <w:r w:rsidRPr="00641CF6">
        <w:rPr>
          <w:rFonts w:ascii="Times New Roman" w:hAnsi="Times New Roman"/>
          <w:sz w:val="20"/>
        </w:rPr>
        <w:t xml:space="preserve"> i jej bliscy stali się Izraelitami, a </w:t>
      </w:r>
      <w:proofErr w:type="spellStart"/>
      <w:r w:rsidRPr="00641CF6">
        <w:rPr>
          <w:rFonts w:ascii="Times New Roman" w:hAnsi="Times New Roman"/>
          <w:sz w:val="20"/>
        </w:rPr>
        <w:t>Rachab</w:t>
      </w:r>
      <w:proofErr w:type="spellEnd"/>
      <w:r w:rsidRPr="00641CF6">
        <w:rPr>
          <w:rFonts w:ascii="Times New Roman" w:hAnsi="Times New Roman"/>
          <w:sz w:val="20"/>
        </w:rPr>
        <w:t xml:space="preserve"> została przodkinią Mesjasza, </w:t>
      </w:r>
      <w:proofErr w:type="spellStart"/>
      <w:r w:rsidRPr="00641CF6">
        <w:rPr>
          <w:rFonts w:ascii="Times New Roman" w:hAnsi="Times New Roman"/>
          <w:sz w:val="20"/>
        </w:rPr>
        <w:t>Gibeonici</w:t>
      </w:r>
      <w:proofErr w:type="spellEnd"/>
      <w:r w:rsidRPr="00641CF6">
        <w:rPr>
          <w:rFonts w:ascii="Times New Roman" w:hAnsi="Times New Roman"/>
          <w:sz w:val="20"/>
        </w:rPr>
        <w:t xml:space="preserve"> uzyskali status sług. Otrzymali zapewnienie bezpieczeństwa (por. 2 Sm 21), ale ponieśli też negatywne konsekwencje swojego spisku. „Przyjęli szatę ubóstwa z powodu oszustwa, która przylgnęła do nich jako symbol wiecznego niewolnictwa”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Wybrańcy Boga</w:t>
      </w:r>
      <w:r w:rsidRPr="00641CF6">
        <w:rPr>
          <w:rFonts w:ascii="Times New Roman" w:hAnsi="Times New Roman"/>
          <w:iCs/>
          <w:sz w:val="20"/>
        </w:rPr>
        <w:t>, wyd. 2, Warszawa 2018</w:t>
      </w:r>
      <w:r w:rsidRPr="00641CF6">
        <w:rPr>
          <w:rFonts w:ascii="Times New Roman" w:hAnsi="Times New Roman"/>
          <w:sz w:val="20"/>
        </w:rPr>
        <w:t>, s. 377).</w:t>
      </w:r>
    </w:p>
    <w:p w14:paraId="2FEF7665" w14:textId="77777777" w:rsidR="00AF2AD5" w:rsidRPr="00641CF6" w:rsidRDefault="00AF2AD5" w:rsidP="00AF2AD5">
      <w:pPr>
        <w:rPr>
          <w:rFonts w:ascii="Times New Roman" w:hAnsi="Times New Roman"/>
          <w:sz w:val="20"/>
        </w:rPr>
      </w:pPr>
    </w:p>
    <w:p w14:paraId="13BB591C" w14:textId="77777777" w:rsidR="00457C31" w:rsidRDefault="00457C31">
      <w:pPr>
        <w:spacing w:after="160" w:line="259" w:lineRule="auto"/>
        <w:ind w:firstLine="0"/>
        <w:jc w:val="left"/>
        <w:rPr>
          <w:rFonts w:ascii="Times New Roman" w:hAnsi="Times New Roman"/>
          <w:b/>
          <w:sz w:val="20"/>
        </w:rPr>
      </w:pPr>
      <w:r>
        <w:rPr>
          <w:rFonts w:ascii="Times New Roman" w:hAnsi="Times New Roman"/>
          <w:b/>
          <w:sz w:val="20"/>
        </w:rPr>
        <w:br w:type="page"/>
      </w:r>
    </w:p>
    <w:p w14:paraId="109DCDA5" w14:textId="7F524F5B" w:rsidR="00AF2AD5" w:rsidRPr="00641CF6" w:rsidRDefault="00AF2AD5" w:rsidP="00457C31">
      <w:pPr>
        <w:ind w:firstLine="0"/>
        <w:rPr>
          <w:rFonts w:ascii="Times New Roman" w:hAnsi="Times New Roman"/>
          <w:sz w:val="20"/>
        </w:rPr>
      </w:pPr>
      <w:r w:rsidRPr="00641CF6">
        <w:rPr>
          <w:rFonts w:ascii="Times New Roman" w:hAnsi="Times New Roman"/>
          <w:b/>
          <w:sz w:val="20"/>
        </w:rPr>
        <w:lastRenderedPageBreak/>
        <w:t>Część III: Zastosowanie</w:t>
      </w:r>
    </w:p>
    <w:p w14:paraId="10E6FB53" w14:textId="77777777" w:rsidR="00AF2AD5" w:rsidRPr="00641CF6" w:rsidRDefault="00AF2AD5" w:rsidP="00AF2AD5">
      <w:pPr>
        <w:rPr>
          <w:rFonts w:ascii="Times New Roman" w:hAnsi="Times New Roman"/>
          <w:sz w:val="20"/>
        </w:rPr>
      </w:pPr>
    </w:p>
    <w:p w14:paraId="08446477" w14:textId="77777777" w:rsidR="00AF2AD5" w:rsidRPr="00641CF6" w:rsidRDefault="00AF2AD5" w:rsidP="00457C31">
      <w:pPr>
        <w:ind w:firstLine="0"/>
        <w:rPr>
          <w:rFonts w:ascii="Times New Roman" w:hAnsi="Times New Roman"/>
          <w:sz w:val="20"/>
        </w:rPr>
      </w:pPr>
      <w:r w:rsidRPr="00641CF6">
        <w:rPr>
          <w:rFonts w:ascii="Times New Roman" w:hAnsi="Times New Roman"/>
          <w:b/>
          <w:bCs/>
          <w:sz w:val="20"/>
        </w:rPr>
        <w:t>Cudowna łaska w naszym życiu</w:t>
      </w:r>
    </w:p>
    <w:p w14:paraId="42CEDD61"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Historie </w:t>
      </w:r>
      <w:proofErr w:type="spellStart"/>
      <w:r w:rsidRPr="00641CF6">
        <w:rPr>
          <w:rFonts w:ascii="Times New Roman" w:hAnsi="Times New Roman"/>
          <w:sz w:val="20"/>
        </w:rPr>
        <w:t>Rachab</w:t>
      </w:r>
      <w:proofErr w:type="spellEnd"/>
      <w:r w:rsidRPr="00641CF6">
        <w:rPr>
          <w:rFonts w:ascii="Times New Roman" w:hAnsi="Times New Roman"/>
          <w:sz w:val="20"/>
        </w:rPr>
        <w:t xml:space="preserve"> i </w:t>
      </w:r>
      <w:proofErr w:type="spellStart"/>
      <w:r w:rsidRPr="00641CF6">
        <w:rPr>
          <w:rFonts w:ascii="Times New Roman" w:hAnsi="Times New Roman"/>
          <w:sz w:val="20"/>
        </w:rPr>
        <w:t>Gibeonitów</w:t>
      </w:r>
      <w:proofErr w:type="spellEnd"/>
      <w:r w:rsidRPr="00641CF6">
        <w:rPr>
          <w:rFonts w:ascii="Times New Roman" w:hAnsi="Times New Roman"/>
          <w:sz w:val="20"/>
        </w:rPr>
        <w:t xml:space="preserve"> przypominają nam, że Izraelici i Kananejczycy byli czymś więcej niż grupami etnicznymi - symbolizowali także różne rodzaje statusu duchowego. Boży Izrael, bez względu na pochodzenie etniczne, to przede wszystkim duchowa społeczność. Wszyscy ludzie są zaproszeni do udziału w tej społeczności. Nikt nie jest poza zasięgiem Boga. W tym sensie wezwanie apostoła Pawła do przełamywania wszelkich barier dzielących ludzi nie jest czymś nowym w czasach apostolskich </w:t>
      </w:r>
      <w:r w:rsidRPr="00641CF6">
        <w:rPr>
          <w:rFonts w:ascii="Times New Roman" w:hAnsi="Times New Roman"/>
          <w:iCs/>
          <w:sz w:val="20"/>
        </w:rPr>
        <w:t>(Ga 3,28)</w:t>
      </w:r>
      <w:r w:rsidRPr="00641CF6">
        <w:rPr>
          <w:rFonts w:ascii="Times New Roman" w:hAnsi="Times New Roman"/>
          <w:sz w:val="20"/>
        </w:rPr>
        <w:t>.</w:t>
      </w:r>
    </w:p>
    <w:p w14:paraId="150FBC44" w14:textId="77777777" w:rsidR="00AF2AD5" w:rsidRPr="00641CF6" w:rsidRDefault="00AF2AD5" w:rsidP="00AF2AD5">
      <w:pPr>
        <w:rPr>
          <w:rFonts w:ascii="Times New Roman" w:hAnsi="Times New Roman"/>
          <w:sz w:val="20"/>
        </w:rPr>
      </w:pPr>
      <w:r w:rsidRPr="00641CF6">
        <w:rPr>
          <w:rFonts w:ascii="Times New Roman" w:hAnsi="Times New Roman"/>
          <w:b/>
          <w:bCs/>
          <w:sz w:val="20"/>
        </w:rPr>
        <w:t>Do przemyślenia:</w:t>
      </w:r>
      <w:r w:rsidRPr="00641CF6">
        <w:rPr>
          <w:rFonts w:ascii="Times New Roman" w:hAnsi="Times New Roman"/>
          <w:sz w:val="20"/>
        </w:rPr>
        <w:t xml:space="preserve"> Rozważ miejsca, gdzie możesz dzisiaj spotkać ludzi pozornie znajdujących się poza zasięgiem łaski Bożej. Co możesz zrobić wraz z twoim zborem, by docierać do takich ludzi?</w:t>
      </w:r>
    </w:p>
    <w:p w14:paraId="17B63102" w14:textId="77777777" w:rsidR="00AF2AD5" w:rsidRPr="00641CF6" w:rsidRDefault="00AF2AD5" w:rsidP="00AF2AD5">
      <w:pPr>
        <w:rPr>
          <w:rFonts w:ascii="Times New Roman" w:hAnsi="Times New Roman"/>
          <w:sz w:val="20"/>
        </w:rPr>
      </w:pPr>
    </w:p>
    <w:p w14:paraId="4382C4F6" w14:textId="77777777" w:rsidR="00AF2AD5" w:rsidRPr="00641CF6" w:rsidRDefault="00AF2AD5" w:rsidP="00AF2AD5">
      <w:pPr>
        <w:rPr>
          <w:rFonts w:ascii="Times New Roman" w:hAnsi="Times New Roman"/>
          <w:sz w:val="20"/>
        </w:rPr>
      </w:pPr>
      <w:r w:rsidRPr="00641CF6">
        <w:rPr>
          <w:rFonts w:ascii="Times New Roman" w:hAnsi="Times New Roman"/>
          <w:b/>
          <w:bCs/>
          <w:sz w:val="20"/>
        </w:rPr>
        <w:t>Rozpoznanie woli Bożej</w:t>
      </w:r>
    </w:p>
    <w:p w14:paraId="0ACAE3CB"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Fakt iż Izraelici nie rozpoznali tożsamości </w:t>
      </w:r>
      <w:proofErr w:type="spellStart"/>
      <w:r w:rsidRPr="00641CF6">
        <w:rPr>
          <w:rFonts w:ascii="Times New Roman" w:hAnsi="Times New Roman"/>
          <w:sz w:val="20"/>
        </w:rPr>
        <w:t>Gibeonitów</w:t>
      </w:r>
      <w:proofErr w:type="spellEnd"/>
      <w:r w:rsidRPr="00641CF6">
        <w:rPr>
          <w:rFonts w:ascii="Times New Roman" w:hAnsi="Times New Roman"/>
          <w:sz w:val="20"/>
        </w:rPr>
        <w:t xml:space="preserve">, uświadamia nam niebezpieczeństwo oceniania po pozorach. Izraelscy przywódcy spróbowali suchego chleba i ocenili na podstawie swojej percepcji, zamiast radzić się „ust Pana” (dosł. tłum. </w:t>
      </w:r>
      <w:proofErr w:type="spellStart"/>
      <w:r w:rsidRPr="00641CF6">
        <w:rPr>
          <w:rFonts w:ascii="Times New Roman" w:hAnsi="Times New Roman"/>
          <w:sz w:val="20"/>
        </w:rPr>
        <w:t>Joz</w:t>
      </w:r>
      <w:proofErr w:type="spellEnd"/>
      <w:r w:rsidRPr="00641CF6">
        <w:rPr>
          <w:rFonts w:ascii="Times New Roman" w:hAnsi="Times New Roman"/>
          <w:sz w:val="20"/>
        </w:rPr>
        <w:t> 9,14). Błąd popełniony przez Izraelitów był poważny, gdyż zaniedbanie radzenia się Pana podważało ich powołanie do przekazania woli Boga światu.</w:t>
      </w:r>
    </w:p>
    <w:p w14:paraId="24918EBB" w14:textId="77777777" w:rsidR="00AF2AD5" w:rsidRPr="00641CF6" w:rsidRDefault="00AF2AD5" w:rsidP="00AF2AD5">
      <w:pPr>
        <w:rPr>
          <w:rFonts w:ascii="Times New Roman" w:hAnsi="Times New Roman"/>
          <w:sz w:val="20"/>
        </w:rPr>
      </w:pPr>
    </w:p>
    <w:p w14:paraId="7F1D674F" w14:textId="77777777" w:rsidR="00AF2AD5" w:rsidRPr="00641CF6" w:rsidRDefault="00AF2AD5" w:rsidP="00AF2AD5">
      <w:pPr>
        <w:rPr>
          <w:rFonts w:ascii="Times New Roman" w:hAnsi="Times New Roman"/>
          <w:sz w:val="20"/>
        </w:rPr>
      </w:pPr>
      <w:r w:rsidRPr="00641CF6">
        <w:rPr>
          <w:rFonts w:ascii="Times New Roman" w:hAnsi="Times New Roman"/>
          <w:sz w:val="20"/>
        </w:rPr>
        <w:t>Rozważcie razem poniższe pytania:</w:t>
      </w:r>
    </w:p>
    <w:p w14:paraId="26113790" w14:textId="77777777" w:rsidR="00AF2AD5" w:rsidRPr="00641CF6" w:rsidRDefault="00AF2AD5" w:rsidP="00457C31">
      <w:pPr>
        <w:ind w:left="567" w:firstLine="0"/>
        <w:rPr>
          <w:rFonts w:ascii="Times New Roman" w:hAnsi="Times New Roman"/>
          <w:sz w:val="20"/>
        </w:rPr>
      </w:pPr>
      <w:r w:rsidRPr="00641CF6">
        <w:rPr>
          <w:rFonts w:ascii="Times New Roman" w:hAnsi="Times New Roman"/>
          <w:sz w:val="20"/>
        </w:rPr>
        <w:t xml:space="preserve">1. Jak możemy uniknąć błędów podobnych do tego, jakie Izraelici popełnili w związku z podstępem </w:t>
      </w:r>
      <w:proofErr w:type="spellStart"/>
      <w:r w:rsidRPr="00641CF6">
        <w:rPr>
          <w:rFonts w:ascii="Times New Roman" w:hAnsi="Times New Roman"/>
          <w:sz w:val="20"/>
        </w:rPr>
        <w:t>Gibeonitów</w:t>
      </w:r>
      <w:proofErr w:type="spellEnd"/>
      <w:r w:rsidRPr="00641CF6">
        <w:rPr>
          <w:rFonts w:ascii="Times New Roman" w:hAnsi="Times New Roman"/>
          <w:sz w:val="20"/>
        </w:rPr>
        <w:t>?</w:t>
      </w:r>
    </w:p>
    <w:p w14:paraId="7D8D5E82" w14:textId="77777777" w:rsidR="00AF2AD5" w:rsidRPr="00641CF6" w:rsidRDefault="00AF2AD5" w:rsidP="00AF2AD5">
      <w:pPr>
        <w:rPr>
          <w:rFonts w:ascii="Times New Roman" w:hAnsi="Times New Roman"/>
          <w:sz w:val="20"/>
        </w:rPr>
      </w:pPr>
      <w:r w:rsidRPr="00641CF6">
        <w:rPr>
          <w:rFonts w:ascii="Times New Roman" w:hAnsi="Times New Roman"/>
          <w:sz w:val="20"/>
        </w:rPr>
        <w:t>2. W jaki sposób Izraelici powtórzyli błąd Ewy popełniony przez nią w Edenie?</w:t>
      </w:r>
    </w:p>
    <w:p w14:paraId="336FA135" w14:textId="77777777" w:rsidR="00AF2AD5" w:rsidRPr="00641CF6" w:rsidRDefault="00AF2AD5" w:rsidP="00AF2AD5">
      <w:pPr>
        <w:rPr>
          <w:rFonts w:ascii="Times New Roman" w:hAnsi="Times New Roman"/>
          <w:sz w:val="20"/>
        </w:rPr>
      </w:pPr>
      <w:r w:rsidRPr="00641CF6">
        <w:rPr>
          <w:rFonts w:ascii="Times New Roman" w:hAnsi="Times New Roman"/>
          <w:sz w:val="20"/>
        </w:rPr>
        <w:t xml:space="preserve">3. Jak możemy poznać wolę Boga? Jaką rolę odgrywa w tej kwestii </w:t>
      </w:r>
      <w:r w:rsidRPr="00641CF6">
        <w:rPr>
          <w:rFonts w:ascii="Times New Roman" w:hAnsi="Times New Roman"/>
          <w:i/>
          <w:iCs/>
          <w:sz w:val="20"/>
        </w:rPr>
        <w:t>Pismo Święte</w:t>
      </w:r>
      <w:r w:rsidRPr="00641CF6">
        <w:rPr>
          <w:rFonts w:ascii="Times New Roman" w:hAnsi="Times New Roman"/>
          <w:sz w:val="20"/>
        </w:rPr>
        <w:t>?</w:t>
      </w:r>
    </w:p>
    <w:p w14:paraId="5C882B05" w14:textId="77777777" w:rsidR="00AF2AD5" w:rsidRPr="00641CF6" w:rsidRDefault="00AF2AD5" w:rsidP="00457C31">
      <w:pPr>
        <w:ind w:left="567" w:firstLine="0"/>
        <w:rPr>
          <w:rFonts w:ascii="Times New Roman" w:hAnsi="Times New Roman"/>
          <w:sz w:val="20"/>
        </w:rPr>
      </w:pPr>
      <w:r w:rsidRPr="00641CF6">
        <w:rPr>
          <w:rFonts w:ascii="Times New Roman" w:hAnsi="Times New Roman"/>
          <w:sz w:val="20"/>
        </w:rPr>
        <w:t>4. Przypomnij sobie, kiedy ostatnio postanowiłeś podjąć decyzję co do kierunku działania nie radząc się przy tym Boga. Jakie były tego skutki?</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59E2" w14:textId="77777777" w:rsidR="00EF495E" w:rsidRDefault="00EF495E" w:rsidP="00A820C9">
      <w:r>
        <w:separator/>
      </w:r>
    </w:p>
  </w:endnote>
  <w:endnote w:type="continuationSeparator" w:id="0">
    <w:p w14:paraId="2DFD482D" w14:textId="77777777" w:rsidR="00EF495E" w:rsidRDefault="00EF495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D9C1" w14:textId="77777777" w:rsidR="00D23EE9" w:rsidRDefault="00D23E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E7F" w14:textId="77777777" w:rsidR="00D23EE9" w:rsidRDefault="00D23E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F74E" w14:textId="77777777" w:rsidR="00EF495E" w:rsidRDefault="00EF495E" w:rsidP="00A820C9">
      <w:r>
        <w:separator/>
      </w:r>
    </w:p>
  </w:footnote>
  <w:footnote w:type="continuationSeparator" w:id="0">
    <w:p w14:paraId="2FF324B3" w14:textId="77777777" w:rsidR="00EF495E" w:rsidRDefault="00EF495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F51" w14:textId="77777777" w:rsidR="00D23EE9" w:rsidRDefault="00D23EE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3B09F1DD"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1C1F81">
      <w:rPr>
        <w:rFonts w:ascii="Times New Roman" w:hAnsi="Times New Roman"/>
        <w:i/>
        <w:iCs/>
        <w:sz w:val="16"/>
        <w:szCs w:val="16"/>
      </w:rPr>
      <w:tab/>
    </w:r>
    <w:r w:rsidR="00426869">
      <w:rPr>
        <w:rFonts w:ascii="Times New Roman" w:hAnsi="Times New Roman"/>
        <w:i/>
        <w:iCs/>
        <w:sz w:val="16"/>
        <w:szCs w:val="16"/>
      </w:rPr>
      <w:tab/>
    </w:r>
    <w:r w:rsidR="002667CD" w:rsidRPr="00D23EE9">
      <w:rPr>
        <w:rFonts w:ascii="Times New Roman" w:hAnsi="Times New Roman"/>
        <w:sz w:val="16"/>
        <w:szCs w:val="16"/>
      </w:rPr>
      <w:t xml:space="preserve">Lekcja </w:t>
    </w:r>
    <w:r w:rsidR="00426869" w:rsidRPr="00D23EE9">
      <w:rPr>
        <w:rFonts w:ascii="Times New Roman" w:hAnsi="Times New Roman"/>
        <w:sz w:val="16"/>
        <w:szCs w:val="16"/>
      </w:rPr>
      <w:t>2</w:t>
    </w:r>
    <w:r w:rsidR="002667CD">
      <w:rPr>
        <w:rFonts w:ascii="Times New Roman" w:hAnsi="Times New Roman"/>
        <w:i/>
        <w:iCs/>
        <w:sz w:val="16"/>
        <w:szCs w:val="16"/>
      </w:rPr>
      <w:t xml:space="preserve">- </w:t>
    </w:r>
    <w:r w:rsidR="00426869">
      <w:rPr>
        <w:rFonts w:ascii="Times New Roman" w:hAnsi="Times New Roman"/>
        <w:i/>
        <w:iCs/>
        <w:sz w:val="16"/>
        <w:szCs w:val="16"/>
      </w:rPr>
      <w:t>Zaskoczeni przez łaskę</w:t>
    </w:r>
  </w:p>
  <w:p w14:paraId="075CA7E0" w14:textId="77777777" w:rsidR="00D23EE9" w:rsidRDefault="00D23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29BA" w14:textId="77777777" w:rsidR="00D23EE9" w:rsidRDefault="00D23E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855"/>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3EE9"/>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495E"/>
    <w:rsid w:val="00EF502C"/>
    <w:rsid w:val="00EF5B66"/>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1642</Words>
  <Characters>9853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2025-06-05T17:50:00Z</cp:lastPrinted>
  <dcterms:created xsi:type="dcterms:W3CDTF">2025-09-11T11:39:00Z</dcterms:created>
  <dcterms:modified xsi:type="dcterms:W3CDTF">2025-09-11T12:48:00Z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