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DB886" w14:textId="42676934"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DE105B">
        <w:rPr>
          <w:rFonts w:ascii="Times New Roman" w:hAnsi="Times New Roman"/>
          <w:sz w:val="20"/>
        </w:rPr>
        <w:t>6</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DE105B">
        <w:rPr>
          <w:rFonts w:ascii="Times New Roman" w:hAnsi="Times New Roman"/>
          <w:sz w:val="20"/>
        </w:rPr>
        <w:t>11</w:t>
      </w:r>
      <w:r w:rsidR="00F20413" w:rsidRPr="00267B4D">
        <w:rPr>
          <w:rFonts w:ascii="Times New Roman" w:hAnsi="Times New Roman"/>
          <w:sz w:val="20"/>
        </w:rPr>
        <w:t xml:space="preserve"> </w:t>
      </w:r>
      <w:r w:rsidR="006C45AC">
        <w:rPr>
          <w:rFonts w:ascii="Times New Roman" w:hAnsi="Times New Roman"/>
          <w:sz w:val="20"/>
        </w:rPr>
        <w:t>maja</w:t>
      </w:r>
      <w:r w:rsidR="009922DE" w:rsidRPr="00267B4D">
        <w:rPr>
          <w:rFonts w:ascii="Times New Roman" w:hAnsi="Times New Roman"/>
          <w:sz w:val="20"/>
        </w:rPr>
        <w:t xml:space="preserve"> </w:t>
      </w:r>
    </w:p>
    <w:p w14:paraId="4B5719A7" w14:textId="1E1B203A" w:rsidR="00B917A2" w:rsidRPr="00FC6F71" w:rsidRDefault="00DE105B" w:rsidP="00D7590D">
      <w:pPr>
        <w:ind w:firstLine="0"/>
        <w:jc w:val="center"/>
        <w:rPr>
          <w:rFonts w:ascii="Times New Roman" w:hAnsi="Times New Roman"/>
          <w:b/>
          <w:bCs/>
          <w:sz w:val="28"/>
          <w:szCs w:val="28"/>
        </w:rPr>
      </w:pPr>
      <w:r>
        <w:rPr>
          <w:rFonts w:ascii="Times New Roman" w:hAnsi="Times New Roman"/>
          <w:b/>
          <w:bCs/>
          <w:sz w:val="28"/>
          <w:szCs w:val="28"/>
        </w:rPr>
        <w:t>DWAJ ŚWIADKOWIE</w:t>
      </w:r>
    </w:p>
    <w:p w14:paraId="53F60E14" w14:textId="77777777" w:rsidR="00D7590D" w:rsidRDefault="00D7590D" w:rsidP="00267B4D">
      <w:pPr>
        <w:rPr>
          <w:rFonts w:ascii="Times New Roman" w:hAnsi="Times New Roman"/>
          <w:b/>
          <w:sz w:val="20"/>
        </w:rPr>
      </w:pPr>
    </w:p>
    <w:p w14:paraId="2A7FCB74" w14:textId="77777777" w:rsidR="00DE105B" w:rsidRPr="00074492" w:rsidRDefault="00DE105B" w:rsidP="00DE105B">
      <w:pPr>
        <w:rPr>
          <w:rFonts w:ascii="Times New Roman" w:hAnsi="Times New Roman"/>
          <w:sz w:val="20"/>
        </w:rPr>
      </w:pPr>
      <w:bookmarkStart w:id="0" w:name="_Hlk161568660"/>
      <w:r w:rsidRPr="00074492">
        <w:rPr>
          <w:rFonts w:ascii="Times New Roman" w:hAnsi="Times New Roman"/>
          <w:b/>
          <w:bCs/>
          <w:sz w:val="20"/>
        </w:rPr>
        <w:t xml:space="preserve">Zakres </w:t>
      </w:r>
      <w:r w:rsidRPr="00074492">
        <w:rPr>
          <w:rFonts w:ascii="Times New Roman" w:hAnsi="Times New Roman"/>
          <w:b/>
          <w:sz w:val="20"/>
        </w:rPr>
        <w:t>Część I: Przegląd</w:t>
      </w:r>
    </w:p>
    <w:p w14:paraId="03ACE6FA" w14:textId="77777777" w:rsidR="00DE105B" w:rsidRPr="00074492" w:rsidRDefault="00DE105B" w:rsidP="00DE105B">
      <w:pPr>
        <w:rPr>
          <w:rFonts w:ascii="Times New Roman" w:hAnsi="Times New Roman"/>
          <w:sz w:val="20"/>
        </w:rPr>
      </w:pPr>
    </w:p>
    <w:p w14:paraId="1B25C363" w14:textId="77777777" w:rsidR="00DE105B" w:rsidRPr="00074492" w:rsidRDefault="00DE105B" w:rsidP="00DE105B">
      <w:pPr>
        <w:rPr>
          <w:rFonts w:ascii="Times New Roman" w:hAnsi="Times New Roman"/>
          <w:b/>
          <w:bCs/>
          <w:sz w:val="20"/>
        </w:rPr>
      </w:pPr>
      <w:r w:rsidRPr="00074492">
        <w:rPr>
          <w:rFonts w:ascii="Times New Roman" w:hAnsi="Times New Roman"/>
          <w:b/>
          <w:bCs/>
          <w:sz w:val="20"/>
        </w:rPr>
        <w:t>Tekst przewodni: Iz 40,8.</w:t>
      </w:r>
    </w:p>
    <w:p w14:paraId="12C57A25" w14:textId="77777777" w:rsidR="00DE105B" w:rsidRPr="00074492" w:rsidRDefault="00DE105B" w:rsidP="00DE105B">
      <w:pPr>
        <w:rPr>
          <w:rFonts w:ascii="Times New Roman" w:hAnsi="Times New Roman"/>
          <w:sz w:val="20"/>
        </w:rPr>
      </w:pPr>
    </w:p>
    <w:p w14:paraId="3CEB945D" w14:textId="77777777" w:rsidR="00DE105B" w:rsidRPr="00074492" w:rsidRDefault="00DE105B" w:rsidP="00DE105B">
      <w:pPr>
        <w:rPr>
          <w:rFonts w:ascii="Times New Roman" w:hAnsi="Times New Roman"/>
          <w:iCs/>
          <w:sz w:val="20"/>
        </w:rPr>
      </w:pPr>
      <w:r w:rsidRPr="00074492">
        <w:rPr>
          <w:rFonts w:ascii="Times New Roman" w:hAnsi="Times New Roman"/>
          <w:b/>
          <w:bCs/>
          <w:sz w:val="20"/>
        </w:rPr>
        <w:t xml:space="preserve">studium: </w:t>
      </w:r>
      <w:proofErr w:type="spellStart"/>
      <w:r w:rsidRPr="00074492">
        <w:rPr>
          <w:rFonts w:ascii="Times New Roman" w:hAnsi="Times New Roman"/>
          <w:iCs/>
          <w:sz w:val="20"/>
        </w:rPr>
        <w:t>Ap</w:t>
      </w:r>
      <w:proofErr w:type="spellEnd"/>
      <w:r w:rsidRPr="00074492">
        <w:rPr>
          <w:rFonts w:ascii="Times New Roman" w:hAnsi="Times New Roman"/>
          <w:iCs/>
          <w:sz w:val="20"/>
        </w:rPr>
        <w:t xml:space="preserve"> 11,2-11; 12,6.14-15; Za 4,14; </w:t>
      </w:r>
      <w:proofErr w:type="spellStart"/>
      <w:r w:rsidRPr="00074492">
        <w:rPr>
          <w:rFonts w:ascii="Times New Roman" w:hAnsi="Times New Roman"/>
          <w:iCs/>
          <w:sz w:val="20"/>
        </w:rPr>
        <w:t>Ps</w:t>
      </w:r>
      <w:proofErr w:type="spellEnd"/>
      <w:r w:rsidRPr="00074492">
        <w:rPr>
          <w:rFonts w:ascii="Times New Roman" w:hAnsi="Times New Roman"/>
          <w:iCs/>
          <w:sz w:val="20"/>
        </w:rPr>
        <w:t xml:space="preserve"> 119,105; J 5,39; </w:t>
      </w:r>
      <w:proofErr w:type="spellStart"/>
      <w:r w:rsidRPr="00074492">
        <w:rPr>
          <w:rFonts w:ascii="Times New Roman" w:hAnsi="Times New Roman"/>
          <w:iCs/>
          <w:sz w:val="20"/>
        </w:rPr>
        <w:t>Dn</w:t>
      </w:r>
      <w:proofErr w:type="spellEnd"/>
      <w:r w:rsidRPr="00074492">
        <w:rPr>
          <w:rFonts w:ascii="Times New Roman" w:hAnsi="Times New Roman"/>
          <w:iCs/>
          <w:sz w:val="20"/>
        </w:rPr>
        <w:t xml:space="preserve"> 7,25; Iz 40,8; </w:t>
      </w:r>
      <w:proofErr w:type="spellStart"/>
      <w:r w:rsidRPr="00074492">
        <w:rPr>
          <w:rFonts w:ascii="Times New Roman" w:hAnsi="Times New Roman"/>
          <w:iCs/>
          <w:sz w:val="20"/>
        </w:rPr>
        <w:t>Ps</w:t>
      </w:r>
      <w:proofErr w:type="spellEnd"/>
      <w:r w:rsidRPr="00074492">
        <w:rPr>
          <w:rFonts w:ascii="Times New Roman" w:hAnsi="Times New Roman"/>
          <w:iCs/>
          <w:sz w:val="20"/>
        </w:rPr>
        <w:t> 119,89; Iz 54,17.</w:t>
      </w:r>
    </w:p>
    <w:p w14:paraId="34A79318" w14:textId="77777777" w:rsidR="00DE105B" w:rsidRPr="00074492" w:rsidRDefault="00DE105B" w:rsidP="00DE105B">
      <w:pPr>
        <w:rPr>
          <w:rFonts w:ascii="Times New Roman" w:hAnsi="Times New Roman"/>
          <w:sz w:val="20"/>
        </w:rPr>
      </w:pPr>
    </w:p>
    <w:p w14:paraId="1BC2DB5C" w14:textId="77777777" w:rsidR="00DE105B" w:rsidRPr="00074492" w:rsidRDefault="00DE105B" w:rsidP="00DE105B">
      <w:pPr>
        <w:rPr>
          <w:rFonts w:ascii="Times New Roman" w:hAnsi="Times New Roman"/>
          <w:sz w:val="20"/>
        </w:rPr>
      </w:pPr>
      <w:r w:rsidRPr="00074492">
        <w:rPr>
          <w:rFonts w:ascii="Times New Roman" w:hAnsi="Times New Roman"/>
          <w:b/>
          <w:bCs/>
          <w:sz w:val="20"/>
        </w:rPr>
        <w:t xml:space="preserve">Wprowadzenie: </w:t>
      </w:r>
      <w:r w:rsidRPr="00074492">
        <w:rPr>
          <w:rFonts w:ascii="Times New Roman" w:hAnsi="Times New Roman"/>
          <w:sz w:val="20"/>
        </w:rPr>
        <w:t>Kontynuując tematykę poprzednich lekcji ta lekcja skupi naszą uwagę na fundamentalnej roli, autorytecie i mocy Słowa Bożego w wielkim boju. Przyjrzymy się Słowu Bożemu zwłaszcza jako reprezentowanemu przez dwóch świadków ubranych w wory podczas proroczego okresu 1260 lat.</w:t>
      </w:r>
    </w:p>
    <w:p w14:paraId="1D661185" w14:textId="77777777" w:rsidR="00DE105B" w:rsidRPr="00074492" w:rsidRDefault="00DE105B" w:rsidP="00DE105B">
      <w:pPr>
        <w:rPr>
          <w:rFonts w:ascii="Times New Roman" w:hAnsi="Times New Roman"/>
          <w:bCs/>
          <w:sz w:val="20"/>
        </w:rPr>
      </w:pPr>
      <w:r w:rsidRPr="00074492">
        <w:rPr>
          <w:rFonts w:ascii="Times New Roman" w:hAnsi="Times New Roman"/>
          <w:bCs/>
          <w:sz w:val="20"/>
        </w:rPr>
        <w:t xml:space="preserve">Kiedy Jezus wstąpił do Nieba, diabeł skierował swoje zainteresowanie i energię przeciwko Słowu Bożemu, </w:t>
      </w:r>
      <w:r w:rsidRPr="00074492">
        <w:rPr>
          <w:rFonts w:ascii="Times New Roman" w:hAnsi="Times New Roman"/>
          <w:bCs/>
          <w:i/>
          <w:iCs/>
          <w:sz w:val="20"/>
        </w:rPr>
        <w:t>Pismu Świętemu</w:t>
      </w:r>
      <w:r w:rsidRPr="00074492">
        <w:rPr>
          <w:rFonts w:ascii="Times New Roman" w:hAnsi="Times New Roman"/>
          <w:bCs/>
          <w:sz w:val="20"/>
        </w:rPr>
        <w:t xml:space="preserve">, a także przeciwko ludowi Bożemu. Misją Kościoła było wydawanie świadectwa o Jezusie Chrystusie i Jego Słowie, a zatem objawianie charakteru i woli Boga. W </w:t>
      </w:r>
      <w:proofErr w:type="spellStart"/>
      <w:r w:rsidRPr="00074492">
        <w:rPr>
          <w:rFonts w:ascii="Times New Roman" w:hAnsi="Times New Roman"/>
          <w:bCs/>
          <w:sz w:val="20"/>
        </w:rPr>
        <w:t>Ap</w:t>
      </w:r>
      <w:proofErr w:type="spellEnd"/>
      <w:r w:rsidRPr="00074492">
        <w:rPr>
          <w:rFonts w:ascii="Times New Roman" w:hAnsi="Times New Roman"/>
          <w:bCs/>
          <w:sz w:val="20"/>
        </w:rPr>
        <w:t xml:space="preserve"> 11 Słowo Boże jest przedstawione w zaczerpniętym ze </w:t>
      </w:r>
      <w:r w:rsidRPr="00074492">
        <w:rPr>
          <w:rFonts w:ascii="Times New Roman" w:hAnsi="Times New Roman"/>
          <w:bCs/>
          <w:i/>
          <w:iCs/>
          <w:sz w:val="20"/>
        </w:rPr>
        <w:t>Starego Testamentu</w:t>
      </w:r>
      <w:r w:rsidRPr="00074492">
        <w:rPr>
          <w:rFonts w:ascii="Times New Roman" w:hAnsi="Times New Roman"/>
          <w:bCs/>
          <w:sz w:val="20"/>
        </w:rPr>
        <w:t xml:space="preserve"> symbolu dwóch świadków </w:t>
      </w:r>
      <w:r w:rsidRPr="00074492">
        <w:rPr>
          <w:rFonts w:ascii="Times New Roman" w:hAnsi="Times New Roman"/>
          <w:iCs/>
          <w:sz w:val="20"/>
        </w:rPr>
        <w:t>(Za 4,14)</w:t>
      </w:r>
      <w:r w:rsidRPr="00074492">
        <w:rPr>
          <w:rFonts w:ascii="Times New Roman" w:hAnsi="Times New Roman"/>
          <w:bCs/>
          <w:sz w:val="20"/>
        </w:rPr>
        <w:t>. Ta metafora wskazuje, że Słowo Boże posiada trwałą obecność i moc, pochodzi od Boga i zostało przekazane przy pomocy natchnienia przez Ducha Świętego.</w:t>
      </w:r>
    </w:p>
    <w:p w14:paraId="6FBADE86" w14:textId="4928F17D" w:rsidR="00DE105B" w:rsidRPr="00074492" w:rsidRDefault="00DE105B" w:rsidP="00DE105B">
      <w:pPr>
        <w:rPr>
          <w:rFonts w:ascii="Times New Roman" w:hAnsi="Times New Roman"/>
          <w:bCs/>
          <w:sz w:val="20"/>
        </w:rPr>
      </w:pPr>
      <w:r w:rsidRPr="00074492">
        <w:rPr>
          <w:rFonts w:ascii="Times New Roman" w:hAnsi="Times New Roman"/>
          <w:bCs/>
          <w:sz w:val="20"/>
        </w:rPr>
        <w:t xml:space="preserve">Paralelizm między Jezusem i Słowem jest oczywisty - jak Jezus pełnił swą misję trzy i pół roku, będąc uciskany i prześladowany przez własny lud, który miał Go przyjąć, tak </w:t>
      </w:r>
      <w:r w:rsidRPr="00074492">
        <w:rPr>
          <w:rFonts w:ascii="Times New Roman" w:hAnsi="Times New Roman"/>
          <w:bCs/>
          <w:i/>
          <w:iCs/>
          <w:sz w:val="20"/>
        </w:rPr>
        <w:t>Pismo Święte</w:t>
      </w:r>
      <w:r w:rsidRPr="00074492">
        <w:rPr>
          <w:rFonts w:ascii="Times New Roman" w:hAnsi="Times New Roman"/>
          <w:bCs/>
          <w:sz w:val="20"/>
        </w:rPr>
        <w:t xml:space="preserve"> służyło światu trzy i pół proroczego roku czyli 1260 historycznych lat, tłumione przez tych ludzi, którzy mienili się strażnikami Słowa Bożego. Jak Jezus, Żywe Słowo, umarł i zmartwychwstał, tak </w:t>
      </w:r>
      <w:r w:rsidRPr="00074492">
        <w:rPr>
          <w:rFonts w:ascii="Times New Roman" w:hAnsi="Times New Roman"/>
          <w:bCs/>
          <w:i/>
          <w:iCs/>
          <w:sz w:val="20"/>
        </w:rPr>
        <w:t>Pismo Święte</w:t>
      </w:r>
      <w:r w:rsidRPr="00074492">
        <w:rPr>
          <w:rFonts w:ascii="Times New Roman" w:hAnsi="Times New Roman"/>
          <w:bCs/>
          <w:sz w:val="20"/>
        </w:rPr>
        <w:t>, spisane Słowo, „umarło i</w:t>
      </w:r>
      <w:r>
        <w:rPr>
          <w:rFonts w:ascii="Times New Roman" w:hAnsi="Times New Roman"/>
          <w:bCs/>
          <w:sz w:val="20"/>
        </w:rPr>
        <w:t> </w:t>
      </w:r>
      <w:r w:rsidRPr="00074492">
        <w:rPr>
          <w:rFonts w:ascii="Times New Roman" w:hAnsi="Times New Roman"/>
          <w:bCs/>
          <w:sz w:val="20"/>
        </w:rPr>
        <w:t>zmartwychwstało”. Jak Jezus odniósł zwycięstwo, tak Słowo zwycięży, a lud Boży zwycięży wraz z Jezusem i</w:t>
      </w:r>
      <w:r>
        <w:rPr>
          <w:rFonts w:ascii="Times New Roman" w:hAnsi="Times New Roman"/>
          <w:bCs/>
          <w:sz w:val="20"/>
        </w:rPr>
        <w:t> </w:t>
      </w:r>
      <w:r w:rsidRPr="00074492">
        <w:rPr>
          <w:rFonts w:ascii="Times New Roman" w:hAnsi="Times New Roman"/>
          <w:bCs/>
          <w:sz w:val="20"/>
        </w:rPr>
        <w:t>Jego Słowem.</w:t>
      </w:r>
    </w:p>
    <w:p w14:paraId="6EF7B842" w14:textId="77777777" w:rsidR="00DE105B" w:rsidRPr="00074492" w:rsidRDefault="00DE105B" w:rsidP="00DE105B">
      <w:pPr>
        <w:rPr>
          <w:rFonts w:ascii="Times New Roman" w:hAnsi="Times New Roman"/>
          <w:bCs/>
          <w:sz w:val="20"/>
        </w:rPr>
      </w:pPr>
    </w:p>
    <w:p w14:paraId="3064A64D" w14:textId="77777777" w:rsidR="00DE105B" w:rsidRPr="00074492" w:rsidRDefault="00DE105B" w:rsidP="00DE105B">
      <w:pPr>
        <w:rPr>
          <w:rFonts w:ascii="Times New Roman" w:hAnsi="Times New Roman"/>
          <w:b/>
          <w:bCs/>
          <w:sz w:val="20"/>
        </w:rPr>
      </w:pPr>
      <w:r w:rsidRPr="00074492">
        <w:rPr>
          <w:rFonts w:ascii="Times New Roman" w:hAnsi="Times New Roman"/>
          <w:b/>
          <w:bCs/>
          <w:sz w:val="20"/>
        </w:rPr>
        <w:t>Tematy lekcji</w:t>
      </w:r>
    </w:p>
    <w:p w14:paraId="204CA839" w14:textId="77777777" w:rsidR="00DE105B" w:rsidRPr="00074492" w:rsidRDefault="00DE105B" w:rsidP="00DE105B">
      <w:pPr>
        <w:rPr>
          <w:rFonts w:ascii="Times New Roman" w:hAnsi="Times New Roman"/>
          <w:sz w:val="20"/>
        </w:rPr>
      </w:pPr>
      <w:r w:rsidRPr="00074492">
        <w:rPr>
          <w:rFonts w:ascii="Times New Roman" w:hAnsi="Times New Roman"/>
          <w:sz w:val="20"/>
        </w:rPr>
        <w:t>Ta lekcja porusza dwa zasadnicze tematy:</w:t>
      </w:r>
    </w:p>
    <w:p w14:paraId="37DE5ACA" w14:textId="77777777" w:rsidR="00DE105B" w:rsidRPr="00074492" w:rsidRDefault="00DE105B" w:rsidP="00DE105B">
      <w:pPr>
        <w:rPr>
          <w:rFonts w:ascii="Times New Roman" w:hAnsi="Times New Roman"/>
          <w:bCs/>
          <w:sz w:val="20"/>
        </w:rPr>
      </w:pPr>
      <w:r w:rsidRPr="00074492">
        <w:rPr>
          <w:rFonts w:ascii="Times New Roman" w:hAnsi="Times New Roman"/>
          <w:bCs/>
          <w:sz w:val="20"/>
        </w:rPr>
        <w:t xml:space="preserve">1. Dwaj świadkowie z </w:t>
      </w:r>
      <w:proofErr w:type="spellStart"/>
      <w:r w:rsidRPr="00074492">
        <w:rPr>
          <w:rFonts w:ascii="Times New Roman" w:hAnsi="Times New Roman"/>
          <w:bCs/>
          <w:sz w:val="20"/>
        </w:rPr>
        <w:t>Ap</w:t>
      </w:r>
      <w:proofErr w:type="spellEnd"/>
      <w:r w:rsidRPr="00074492">
        <w:rPr>
          <w:rFonts w:ascii="Times New Roman" w:hAnsi="Times New Roman"/>
          <w:bCs/>
          <w:sz w:val="20"/>
        </w:rPr>
        <w:t xml:space="preserve"> 11 symbolizują </w:t>
      </w:r>
      <w:r w:rsidRPr="00074492">
        <w:rPr>
          <w:rFonts w:ascii="Times New Roman" w:hAnsi="Times New Roman"/>
          <w:bCs/>
          <w:i/>
          <w:iCs/>
          <w:sz w:val="20"/>
        </w:rPr>
        <w:t>Pismo Święte</w:t>
      </w:r>
      <w:r w:rsidRPr="00074492">
        <w:rPr>
          <w:rFonts w:ascii="Times New Roman" w:hAnsi="Times New Roman"/>
          <w:bCs/>
          <w:sz w:val="20"/>
        </w:rPr>
        <w:t>. Pełnią swą misję w czasach prześladowań podczas proroczego okresu 1260 lat, od 538 do 1798 roku.</w:t>
      </w:r>
    </w:p>
    <w:p w14:paraId="684DC72E" w14:textId="1F864583" w:rsidR="00DE105B" w:rsidRPr="00074492" w:rsidRDefault="00DE105B" w:rsidP="00DE105B">
      <w:pPr>
        <w:rPr>
          <w:rFonts w:ascii="Times New Roman" w:hAnsi="Times New Roman"/>
          <w:bCs/>
          <w:sz w:val="20"/>
        </w:rPr>
      </w:pPr>
      <w:r w:rsidRPr="00074492">
        <w:rPr>
          <w:rFonts w:ascii="Times New Roman" w:hAnsi="Times New Roman"/>
          <w:bCs/>
          <w:sz w:val="20"/>
        </w:rPr>
        <w:t>2. Pod koniec tego proroczego okresu dwaj świadkowie umarli i zostali wskrzeszeni, podobnie jak Jezus umarł i zmartwychwstał, co wskazuje fakt, że Bóg przez Jezusa i Jego Słowo odniesie ostateczne zwycięstwo w</w:t>
      </w:r>
      <w:r>
        <w:rPr>
          <w:rFonts w:ascii="Times New Roman" w:hAnsi="Times New Roman"/>
          <w:bCs/>
          <w:sz w:val="20"/>
        </w:rPr>
        <w:t> </w:t>
      </w:r>
      <w:r w:rsidRPr="00074492">
        <w:rPr>
          <w:rFonts w:ascii="Times New Roman" w:hAnsi="Times New Roman"/>
          <w:bCs/>
          <w:sz w:val="20"/>
        </w:rPr>
        <w:t>wielkim boju.</w:t>
      </w:r>
    </w:p>
    <w:p w14:paraId="0ADF1AB6" w14:textId="77777777" w:rsidR="00DE105B" w:rsidRPr="00074492" w:rsidRDefault="00DE105B" w:rsidP="00DE105B">
      <w:pPr>
        <w:rPr>
          <w:rFonts w:ascii="Times New Roman" w:hAnsi="Times New Roman"/>
          <w:bCs/>
          <w:sz w:val="20"/>
        </w:rPr>
      </w:pPr>
    </w:p>
    <w:p w14:paraId="2C107A48" w14:textId="77777777" w:rsidR="00DE105B" w:rsidRPr="00074492" w:rsidRDefault="00DE105B" w:rsidP="00DE105B">
      <w:pPr>
        <w:rPr>
          <w:rFonts w:ascii="Times New Roman" w:hAnsi="Times New Roman"/>
          <w:sz w:val="20"/>
        </w:rPr>
      </w:pPr>
      <w:r w:rsidRPr="00074492">
        <w:rPr>
          <w:rFonts w:ascii="Times New Roman" w:hAnsi="Times New Roman"/>
          <w:b/>
          <w:sz w:val="20"/>
        </w:rPr>
        <w:t>Część II: Komentarz</w:t>
      </w:r>
    </w:p>
    <w:p w14:paraId="0F2FDE8C" w14:textId="77777777" w:rsidR="00DE105B" w:rsidRPr="00074492" w:rsidRDefault="00DE105B" w:rsidP="00DE105B">
      <w:pPr>
        <w:rPr>
          <w:rFonts w:ascii="Times New Roman" w:hAnsi="Times New Roman"/>
          <w:sz w:val="20"/>
        </w:rPr>
      </w:pPr>
    </w:p>
    <w:p w14:paraId="3A7951CA" w14:textId="77777777" w:rsidR="00DE105B" w:rsidRPr="00074492" w:rsidRDefault="00DE105B" w:rsidP="00DE105B">
      <w:pPr>
        <w:rPr>
          <w:rFonts w:ascii="Times New Roman" w:hAnsi="Times New Roman"/>
          <w:b/>
          <w:bCs/>
          <w:sz w:val="20"/>
        </w:rPr>
      </w:pPr>
      <w:r w:rsidRPr="00074492">
        <w:rPr>
          <w:rFonts w:ascii="Times New Roman" w:hAnsi="Times New Roman"/>
          <w:b/>
          <w:bCs/>
          <w:sz w:val="20"/>
        </w:rPr>
        <w:t>Prorokowanie w worach</w:t>
      </w:r>
    </w:p>
    <w:p w14:paraId="5B437D4F" w14:textId="1F92A2CC" w:rsidR="00DE105B" w:rsidRPr="00074492" w:rsidRDefault="00DE105B" w:rsidP="00DE105B">
      <w:pPr>
        <w:rPr>
          <w:rFonts w:ascii="Times New Roman" w:hAnsi="Times New Roman"/>
          <w:bCs/>
          <w:sz w:val="20"/>
        </w:rPr>
      </w:pPr>
      <w:r w:rsidRPr="00074492">
        <w:rPr>
          <w:rFonts w:ascii="Times New Roman" w:hAnsi="Times New Roman"/>
          <w:bCs/>
          <w:sz w:val="20"/>
        </w:rPr>
        <w:t>Dlaczego adwentyści dnia siódmego utrzymują, że dwaj świadkowie (</w:t>
      </w:r>
      <w:r w:rsidRPr="00074492">
        <w:rPr>
          <w:rFonts w:ascii="Times New Roman" w:hAnsi="Times New Roman"/>
          <w:bCs/>
          <w:i/>
          <w:iCs/>
          <w:sz w:val="20"/>
        </w:rPr>
        <w:t>Pismo Święte</w:t>
      </w:r>
      <w:r w:rsidRPr="00074492">
        <w:rPr>
          <w:rFonts w:ascii="Times New Roman" w:hAnsi="Times New Roman"/>
          <w:bCs/>
          <w:sz w:val="20"/>
        </w:rPr>
        <w:t>) byli prześladowani w</w:t>
      </w:r>
      <w:r>
        <w:rPr>
          <w:rFonts w:ascii="Times New Roman" w:hAnsi="Times New Roman"/>
          <w:bCs/>
          <w:sz w:val="20"/>
        </w:rPr>
        <w:t> </w:t>
      </w:r>
      <w:r w:rsidRPr="00074492">
        <w:rPr>
          <w:rFonts w:ascii="Times New Roman" w:hAnsi="Times New Roman"/>
          <w:bCs/>
          <w:sz w:val="20"/>
        </w:rPr>
        <w:t xml:space="preserve">średniowieczu? Czy ludzie w tamtych czasach nie wiedzieli o istnieniu </w:t>
      </w:r>
      <w:r w:rsidRPr="00074492">
        <w:rPr>
          <w:rFonts w:ascii="Times New Roman" w:hAnsi="Times New Roman"/>
          <w:bCs/>
          <w:i/>
          <w:iCs/>
          <w:sz w:val="20"/>
        </w:rPr>
        <w:t>Biblii</w:t>
      </w:r>
      <w:r w:rsidRPr="00074492">
        <w:rPr>
          <w:rFonts w:ascii="Times New Roman" w:hAnsi="Times New Roman"/>
          <w:bCs/>
          <w:sz w:val="20"/>
        </w:rPr>
        <w:t xml:space="preserve">? Czy katedry i kościoły nie były dekorowane malowidłami nawiązującymi do tematyki biblijnej? Czy scholastyczni uczeni nie wykładali swoim studentom </w:t>
      </w:r>
      <w:r w:rsidRPr="00074492">
        <w:rPr>
          <w:rFonts w:ascii="Times New Roman" w:hAnsi="Times New Roman"/>
          <w:bCs/>
          <w:i/>
          <w:iCs/>
          <w:sz w:val="20"/>
        </w:rPr>
        <w:t>Biblii</w:t>
      </w:r>
      <w:r w:rsidRPr="00074492">
        <w:rPr>
          <w:rFonts w:ascii="Times New Roman" w:hAnsi="Times New Roman"/>
          <w:bCs/>
          <w:sz w:val="20"/>
        </w:rPr>
        <w:t>? Owszem, tak było. Zatem skąd przekonanie, że okres 1260 lat, od 538 do 1798 roku, był okresem prześladowania - czasem, kiedy dwaj świadkowie prorokowali w worach oznaczających trudności i upokorzenia?</w:t>
      </w:r>
    </w:p>
    <w:p w14:paraId="472B321D" w14:textId="77777777" w:rsidR="00DE105B" w:rsidRPr="00074492" w:rsidRDefault="00DE105B" w:rsidP="00DE105B">
      <w:pPr>
        <w:rPr>
          <w:rFonts w:ascii="Times New Roman" w:hAnsi="Times New Roman"/>
          <w:bCs/>
          <w:sz w:val="20"/>
        </w:rPr>
      </w:pPr>
      <w:r w:rsidRPr="00074492">
        <w:rPr>
          <w:rFonts w:ascii="Times New Roman" w:hAnsi="Times New Roman"/>
          <w:bCs/>
          <w:sz w:val="20"/>
        </w:rPr>
        <w:t xml:space="preserve">Zanim odpowiemy na to pytanie, skomplikujmy nieco tę kwestię. Niektórzy przytaczają argument, iż prześladowania skierowane przeciwko głoszeniu </w:t>
      </w:r>
      <w:r w:rsidRPr="00074492">
        <w:rPr>
          <w:rFonts w:ascii="Times New Roman" w:hAnsi="Times New Roman"/>
          <w:bCs/>
          <w:i/>
          <w:iCs/>
          <w:sz w:val="20"/>
        </w:rPr>
        <w:t>Pisma Świętego</w:t>
      </w:r>
      <w:r w:rsidRPr="00074492">
        <w:rPr>
          <w:rFonts w:ascii="Times New Roman" w:hAnsi="Times New Roman"/>
          <w:bCs/>
          <w:sz w:val="20"/>
        </w:rPr>
        <w:t xml:space="preserve"> występowały także przed 538 rokiem. Owszem, Rzymianie poniekąd wyszydzali i tłumili przesłanie </w:t>
      </w:r>
      <w:r w:rsidRPr="00074492">
        <w:rPr>
          <w:rFonts w:ascii="Times New Roman" w:hAnsi="Times New Roman"/>
          <w:bCs/>
          <w:i/>
          <w:iCs/>
          <w:sz w:val="20"/>
        </w:rPr>
        <w:t>Pisma Świętego</w:t>
      </w:r>
      <w:r w:rsidRPr="00074492">
        <w:rPr>
          <w:rFonts w:ascii="Times New Roman" w:hAnsi="Times New Roman"/>
          <w:bCs/>
          <w:sz w:val="20"/>
        </w:rPr>
        <w:t xml:space="preserve">, prześladując pierwszych chrześcijan. Pogański cesarz Dioklecjan </w:t>
      </w:r>
      <w:r w:rsidRPr="00074492">
        <w:rPr>
          <w:rFonts w:ascii="Times New Roman" w:hAnsi="Times New Roman"/>
          <w:sz w:val="20"/>
        </w:rPr>
        <w:t xml:space="preserve">(284-305) </w:t>
      </w:r>
      <w:r w:rsidRPr="00074492">
        <w:rPr>
          <w:rFonts w:ascii="Times New Roman" w:hAnsi="Times New Roman"/>
          <w:bCs/>
          <w:sz w:val="20"/>
        </w:rPr>
        <w:t xml:space="preserve">obrał sobie jako cel zniszczenie </w:t>
      </w:r>
      <w:r w:rsidRPr="00074492">
        <w:rPr>
          <w:rFonts w:ascii="Times New Roman" w:hAnsi="Times New Roman"/>
          <w:bCs/>
          <w:i/>
          <w:iCs/>
          <w:sz w:val="20"/>
        </w:rPr>
        <w:t>Biblii</w:t>
      </w:r>
      <w:r w:rsidRPr="00074492">
        <w:rPr>
          <w:rFonts w:ascii="Times New Roman" w:hAnsi="Times New Roman"/>
          <w:bCs/>
          <w:sz w:val="20"/>
        </w:rPr>
        <w:t xml:space="preserve">. W tym celu zarządził, iż chrześcijanie mają się wyprzeć swojej świętej księgi i pozbyć się jej. Większość chrześcijan nie miała wówczas własnego egzemplarza </w:t>
      </w:r>
      <w:r w:rsidRPr="00074492">
        <w:rPr>
          <w:rFonts w:ascii="Times New Roman" w:hAnsi="Times New Roman"/>
          <w:bCs/>
          <w:i/>
          <w:iCs/>
          <w:sz w:val="20"/>
        </w:rPr>
        <w:t>Biblii</w:t>
      </w:r>
      <w:r w:rsidRPr="00074492">
        <w:rPr>
          <w:rFonts w:ascii="Times New Roman" w:hAnsi="Times New Roman"/>
          <w:bCs/>
          <w:sz w:val="20"/>
        </w:rPr>
        <w:t xml:space="preserve">. Niektórzy posiadacze zwojów biblijnych oddali je władzom celem publicznego spalenia i zbezczeszczenia, ale wielu odmawiało, wybierając raczej męczeńską śmierć za wiarę. Ostatecznie Słowo Boże wyszło w glorii zwycięstwa z tego ataku. Pod koniec proroczego okresu 1260 lat francuscy rewolucjoniści, podobnie jak późniejsze ateistyczne dyktatury i komunistyczne reżimy, także postanowili zniszczyć </w:t>
      </w:r>
      <w:r w:rsidRPr="00074492">
        <w:rPr>
          <w:rFonts w:ascii="Times New Roman" w:hAnsi="Times New Roman"/>
          <w:bCs/>
          <w:i/>
          <w:iCs/>
          <w:sz w:val="20"/>
        </w:rPr>
        <w:t>Pismo Święte</w:t>
      </w:r>
      <w:r w:rsidRPr="00074492">
        <w:rPr>
          <w:rFonts w:ascii="Times New Roman" w:hAnsi="Times New Roman"/>
          <w:bCs/>
          <w:sz w:val="20"/>
        </w:rPr>
        <w:t>, idąc w ślady nieszczęsnego Dioklecjana.</w:t>
      </w:r>
    </w:p>
    <w:p w14:paraId="5F2E6A62" w14:textId="77777777" w:rsidR="00DE105B" w:rsidRPr="00074492" w:rsidRDefault="00DE105B" w:rsidP="00DE105B">
      <w:pPr>
        <w:rPr>
          <w:rFonts w:ascii="Times New Roman" w:hAnsi="Times New Roman"/>
          <w:bCs/>
          <w:sz w:val="20"/>
        </w:rPr>
      </w:pPr>
      <w:r w:rsidRPr="00074492">
        <w:rPr>
          <w:rFonts w:ascii="Times New Roman" w:hAnsi="Times New Roman"/>
          <w:bCs/>
          <w:sz w:val="20"/>
        </w:rPr>
        <w:t xml:space="preserve">Jednak w przeciwieństwie do Dioklecjana, francuscy rewolucjoniści odnieśli sukces niemal zupełnie usuwając </w:t>
      </w:r>
      <w:r w:rsidRPr="00074492">
        <w:rPr>
          <w:rFonts w:ascii="Times New Roman" w:hAnsi="Times New Roman"/>
          <w:bCs/>
          <w:i/>
          <w:iCs/>
          <w:sz w:val="20"/>
        </w:rPr>
        <w:t>Pismo Święte</w:t>
      </w:r>
      <w:r w:rsidRPr="00074492">
        <w:rPr>
          <w:rFonts w:ascii="Times New Roman" w:hAnsi="Times New Roman"/>
          <w:bCs/>
          <w:sz w:val="20"/>
        </w:rPr>
        <w:t xml:space="preserve"> na kontrolowanym przez siebie terenie przez stosunkowo krótki okres </w:t>
      </w:r>
      <w:r w:rsidRPr="00074492">
        <w:rPr>
          <w:rFonts w:ascii="Times New Roman" w:hAnsi="Times New Roman"/>
          <w:iCs/>
          <w:sz w:val="20"/>
        </w:rPr>
        <w:t>(</w:t>
      </w:r>
      <w:proofErr w:type="spellStart"/>
      <w:r w:rsidRPr="00074492">
        <w:rPr>
          <w:rFonts w:ascii="Times New Roman" w:hAnsi="Times New Roman"/>
          <w:iCs/>
          <w:sz w:val="20"/>
        </w:rPr>
        <w:t>Ap</w:t>
      </w:r>
      <w:proofErr w:type="spellEnd"/>
      <w:r w:rsidRPr="00074492">
        <w:rPr>
          <w:rFonts w:ascii="Times New Roman" w:hAnsi="Times New Roman"/>
          <w:iCs/>
          <w:sz w:val="20"/>
        </w:rPr>
        <w:t> 11,7-9)</w:t>
      </w:r>
      <w:r w:rsidRPr="00074492">
        <w:rPr>
          <w:rFonts w:ascii="Times New Roman" w:hAnsi="Times New Roman"/>
          <w:bCs/>
          <w:sz w:val="20"/>
        </w:rPr>
        <w:t>. Owszem, zarówno Dioklecjan jak i francuscy wywrotowcy usiłowali poniżyć Słowo Boże, ale ci drudzy uczynili to starając się je fizycznie wyeliminować, tak by nie mogło prorokować nawet w worze. Ponadto okres 1260 lat, w którym dwaj świadkowie cierpieli upokorzenia, sięga znacznie dalej niż kilka pierwszych wieków prześladowań, a tym bardziej dziesięć lat prześladowań za czasów Dioklecjana czy kilka lat rządów terroru podczas rewolucji we Francji. Zatem musimy szukać innego historycznego wypełnienia proroczego obrazu prorokowania Słowa Bożego jako dwóch świadków odzianych w wory.</w:t>
      </w:r>
    </w:p>
    <w:p w14:paraId="12B4285E" w14:textId="77777777" w:rsidR="00DE105B" w:rsidRPr="00074492" w:rsidRDefault="00DE105B" w:rsidP="00DE105B">
      <w:pPr>
        <w:rPr>
          <w:rFonts w:ascii="Times New Roman" w:hAnsi="Times New Roman"/>
          <w:bCs/>
          <w:sz w:val="20"/>
        </w:rPr>
      </w:pPr>
      <w:r w:rsidRPr="00074492">
        <w:rPr>
          <w:rFonts w:ascii="Times New Roman" w:hAnsi="Times New Roman"/>
          <w:bCs/>
          <w:sz w:val="20"/>
        </w:rPr>
        <w:t xml:space="preserve">Aby zrozumieć, kiedy i jak dwaj świadkowie, czyli </w:t>
      </w:r>
      <w:r w:rsidRPr="00074492">
        <w:rPr>
          <w:rFonts w:ascii="Times New Roman" w:hAnsi="Times New Roman"/>
          <w:bCs/>
          <w:i/>
          <w:iCs/>
          <w:sz w:val="20"/>
        </w:rPr>
        <w:t>Pismo Święte</w:t>
      </w:r>
      <w:r w:rsidRPr="00074492">
        <w:rPr>
          <w:rFonts w:ascii="Times New Roman" w:hAnsi="Times New Roman"/>
          <w:bCs/>
          <w:sz w:val="20"/>
        </w:rPr>
        <w:t xml:space="preserve">, prorokowali w worach, musimy zwrócić uwagę na dwa fakty. Po pierwsze, dwaj świadkowie pełnili tę szczególną służbę w okresie 1260 lat. Jak mówi </w:t>
      </w:r>
      <w:r w:rsidRPr="00074492">
        <w:rPr>
          <w:rFonts w:ascii="Times New Roman" w:hAnsi="Times New Roman"/>
          <w:bCs/>
          <w:sz w:val="20"/>
        </w:rPr>
        <w:lastRenderedPageBreak/>
        <w:t>nasza lekcja, adwentyści dnia siódmego rozumieją, że okres ten trwał od 538 do 1798 roku i obejmował wzrost, ustanowienie i panowanie Kościoła Rzymskokatolickiego. Po drugie, dwaj świadkowie nie zostali „zabici” w tym okresie, ale byli ubrani w wory.</w:t>
      </w:r>
    </w:p>
    <w:p w14:paraId="247D4DCE" w14:textId="52867020" w:rsidR="00DE105B" w:rsidRPr="00074492" w:rsidRDefault="00DE105B" w:rsidP="00DE105B">
      <w:pPr>
        <w:rPr>
          <w:rFonts w:ascii="Times New Roman" w:hAnsi="Times New Roman"/>
          <w:bCs/>
          <w:sz w:val="20"/>
        </w:rPr>
      </w:pPr>
      <w:r w:rsidRPr="00074492">
        <w:rPr>
          <w:rFonts w:ascii="Times New Roman" w:hAnsi="Times New Roman"/>
          <w:bCs/>
          <w:sz w:val="20"/>
        </w:rPr>
        <w:t xml:space="preserve">Nawiązanie do proroctwa Zachariasza </w:t>
      </w:r>
      <w:r w:rsidRPr="00074492">
        <w:rPr>
          <w:rFonts w:ascii="Times New Roman" w:hAnsi="Times New Roman"/>
          <w:iCs/>
          <w:sz w:val="20"/>
        </w:rPr>
        <w:t>(</w:t>
      </w:r>
      <w:proofErr w:type="spellStart"/>
      <w:r w:rsidRPr="00074492">
        <w:rPr>
          <w:rFonts w:ascii="Times New Roman" w:hAnsi="Times New Roman"/>
          <w:iCs/>
          <w:sz w:val="20"/>
        </w:rPr>
        <w:t>Ap</w:t>
      </w:r>
      <w:proofErr w:type="spellEnd"/>
      <w:r w:rsidRPr="00074492">
        <w:rPr>
          <w:rFonts w:ascii="Times New Roman" w:hAnsi="Times New Roman"/>
          <w:iCs/>
          <w:sz w:val="20"/>
        </w:rPr>
        <w:t> 11,4; Za 4,14)</w:t>
      </w:r>
      <w:r w:rsidRPr="00074492">
        <w:rPr>
          <w:rFonts w:ascii="Times New Roman" w:hAnsi="Times New Roman"/>
          <w:bCs/>
          <w:sz w:val="20"/>
        </w:rPr>
        <w:t xml:space="preserve"> oraz postaci Eliasza </w:t>
      </w:r>
      <w:r w:rsidRPr="00074492">
        <w:rPr>
          <w:rFonts w:ascii="Times New Roman" w:hAnsi="Times New Roman"/>
          <w:iCs/>
          <w:sz w:val="20"/>
        </w:rPr>
        <w:t>(</w:t>
      </w:r>
      <w:proofErr w:type="spellStart"/>
      <w:r w:rsidRPr="00074492">
        <w:rPr>
          <w:rFonts w:ascii="Times New Roman" w:hAnsi="Times New Roman"/>
          <w:iCs/>
          <w:sz w:val="20"/>
        </w:rPr>
        <w:t>Ap</w:t>
      </w:r>
      <w:proofErr w:type="spellEnd"/>
      <w:r w:rsidRPr="00074492">
        <w:rPr>
          <w:rFonts w:ascii="Times New Roman" w:hAnsi="Times New Roman"/>
          <w:iCs/>
          <w:sz w:val="20"/>
        </w:rPr>
        <w:t xml:space="preserve"> 11,5-6) </w:t>
      </w:r>
      <w:r w:rsidRPr="00074492">
        <w:rPr>
          <w:rFonts w:ascii="Times New Roman" w:hAnsi="Times New Roman"/>
          <w:bCs/>
          <w:sz w:val="20"/>
        </w:rPr>
        <w:t xml:space="preserve">i Mojżesza </w:t>
      </w:r>
      <w:r w:rsidRPr="00074492">
        <w:rPr>
          <w:rFonts w:ascii="Times New Roman" w:hAnsi="Times New Roman"/>
          <w:iCs/>
          <w:sz w:val="20"/>
        </w:rPr>
        <w:t>(</w:t>
      </w:r>
      <w:proofErr w:type="spellStart"/>
      <w:r w:rsidRPr="00074492">
        <w:rPr>
          <w:rFonts w:ascii="Times New Roman" w:hAnsi="Times New Roman"/>
          <w:iCs/>
          <w:sz w:val="20"/>
        </w:rPr>
        <w:t>Ap</w:t>
      </w:r>
      <w:proofErr w:type="spellEnd"/>
      <w:r w:rsidRPr="00074492">
        <w:rPr>
          <w:rFonts w:ascii="Times New Roman" w:hAnsi="Times New Roman"/>
          <w:iCs/>
          <w:sz w:val="20"/>
        </w:rPr>
        <w:t xml:space="preserve"> 11,6) </w:t>
      </w:r>
      <w:r w:rsidRPr="00074492">
        <w:rPr>
          <w:rFonts w:ascii="Times New Roman" w:hAnsi="Times New Roman"/>
          <w:bCs/>
          <w:sz w:val="20"/>
        </w:rPr>
        <w:t xml:space="preserve">w </w:t>
      </w:r>
      <w:proofErr w:type="spellStart"/>
      <w:r w:rsidRPr="00074492">
        <w:rPr>
          <w:rFonts w:ascii="Times New Roman" w:hAnsi="Times New Roman"/>
          <w:bCs/>
          <w:sz w:val="20"/>
        </w:rPr>
        <w:t>Ap</w:t>
      </w:r>
      <w:proofErr w:type="spellEnd"/>
      <w:r w:rsidRPr="00074492">
        <w:rPr>
          <w:rFonts w:ascii="Times New Roman" w:hAnsi="Times New Roman"/>
          <w:bCs/>
          <w:sz w:val="20"/>
        </w:rPr>
        <w:t> 11 wydaje się sugerować, że prorocza służba dwóch świadków ubranych w wory trwała w</w:t>
      </w:r>
      <w:r>
        <w:rPr>
          <w:rFonts w:ascii="Times New Roman" w:hAnsi="Times New Roman"/>
          <w:bCs/>
          <w:sz w:val="20"/>
        </w:rPr>
        <w:t> </w:t>
      </w:r>
      <w:r w:rsidRPr="00074492">
        <w:rPr>
          <w:rFonts w:ascii="Times New Roman" w:hAnsi="Times New Roman"/>
          <w:bCs/>
          <w:sz w:val="20"/>
        </w:rPr>
        <w:t xml:space="preserve">kontekście prześladowania ludu Bożego. </w:t>
      </w:r>
      <w:proofErr w:type="spellStart"/>
      <w:r w:rsidRPr="00074492">
        <w:rPr>
          <w:rFonts w:ascii="Times New Roman" w:hAnsi="Times New Roman"/>
          <w:bCs/>
          <w:sz w:val="20"/>
        </w:rPr>
        <w:t>Ap</w:t>
      </w:r>
      <w:proofErr w:type="spellEnd"/>
      <w:r w:rsidRPr="00074492">
        <w:rPr>
          <w:rFonts w:ascii="Times New Roman" w:hAnsi="Times New Roman"/>
          <w:bCs/>
          <w:sz w:val="20"/>
        </w:rPr>
        <w:t xml:space="preserve"> 11 nie mówi, że dwaj świadkowie zostali zabici w trakcie 1260 lat - podkreśla raczej, że zostali oni wyposażeni w moc przez Boga, tak iż prorokowali ubrani w wory w całym tym okresie </w:t>
      </w:r>
      <w:r w:rsidRPr="00074492">
        <w:rPr>
          <w:rFonts w:ascii="Times New Roman" w:hAnsi="Times New Roman"/>
          <w:iCs/>
          <w:sz w:val="20"/>
        </w:rPr>
        <w:t>(</w:t>
      </w:r>
      <w:proofErr w:type="spellStart"/>
      <w:r w:rsidRPr="00074492">
        <w:rPr>
          <w:rFonts w:ascii="Times New Roman" w:hAnsi="Times New Roman"/>
          <w:iCs/>
          <w:sz w:val="20"/>
        </w:rPr>
        <w:t>Ap</w:t>
      </w:r>
      <w:proofErr w:type="spellEnd"/>
      <w:r w:rsidRPr="00074492">
        <w:rPr>
          <w:rFonts w:ascii="Times New Roman" w:hAnsi="Times New Roman"/>
          <w:iCs/>
          <w:sz w:val="20"/>
        </w:rPr>
        <w:t> 11,3)</w:t>
      </w:r>
      <w:r w:rsidRPr="00074492">
        <w:rPr>
          <w:rFonts w:ascii="Times New Roman" w:hAnsi="Times New Roman"/>
          <w:bCs/>
          <w:sz w:val="20"/>
        </w:rPr>
        <w:t xml:space="preserve">. Eliasz nosił żałobny wór podczas głębokiego duchowego kryzysu północnego królestwa izraelskiego, kiedy Izraelici świadomie i celowo zmieniali prawo Boże, wywyższając siebie ponad Boże objawienie i przeciwko niemu. Tak więc zasadniczym pytanie nie jest to, czy Kościół Rzymskokatolicki posiadał ogólną wiedzę o </w:t>
      </w:r>
      <w:r w:rsidRPr="00074492">
        <w:rPr>
          <w:rFonts w:ascii="Times New Roman" w:hAnsi="Times New Roman"/>
          <w:bCs/>
          <w:i/>
          <w:iCs/>
          <w:sz w:val="20"/>
        </w:rPr>
        <w:t>Piśmie Świętym</w:t>
      </w:r>
      <w:r w:rsidRPr="00074492">
        <w:rPr>
          <w:rFonts w:ascii="Times New Roman" w:hAnsi="Times New Roman"/>
          <w:bCs/>
          <w:sz w:val="20"/>
        </w:rPr>
        <w:t xml:space="preserve"> i czy korzystał z niego w swojej teologii podczas 1260 lat kościelnej supremacji i prześladowań. Najważniejsze pytanie brzmi: Jaka była postawa Kościoła wobec </w:t>
      </w:r>
      <w:r w:rsidRPr="00074492">
        <w:rPr>
          <w:rFonts w:ascii="Times New Roman" w:hAnsi="Times New Roman"/>
          <w:bCs/>
          <w:i/>
          <w:iCs/>
          <w:sz w:val="20"/>
        </w:rPr>
        <w:t>Pisma Świętego</w:t>
      </w:r>
      <w:r w:rsidRPr="00074492">
        <w:rPr>
          <w:rFonts w:ascii="Times New Roman" w:hAnsi="Times New Roman"/>
          <w:bCs/>
          <w:sz w:val="20"/>
        </w:rPr>
        <w:t xml:space="preserve"> w tym okresie prześladowań? Otóż postawa reprezentantów Kościoła w znacznej mierze przypominała tę, jaka cechowała Izraelitów w północnym królestwie. Znali oni szczególne Boże objawienie, ale świadomie i dobrowolnie stawiali się ponad nim.</w:t>
      </w:r>
    </w:p>
    <w:p w14:paraId="761E9F64" w14:textId="704A146A" w:rsidR="00DE105B" w:rsidRPr="00074492" w:rsidRDefault="00DE105B" w:rsidP="00DE105B">
      <w:pPr>
        <w:rPr>
          <w:rFonts w:ascii="Times New Roman" w:hAnsi="Times New Roman"/>
          <w:bCs/>
          <w:sz w:val="20"/>
        </w:rPr>
      </w:pPr>
      <w:r w:rsidRPr="00074492">
        <w:rPr>
          <w:rFonts w:ascii="Times New Roman" w:hAnsi="Times New Roman"/>
          <w:bCs/>
          <w:sz w:val="20"/>
        </w:rPr>
        <w:t xml:space="preserve">Protestancka zasada </w:t>
      </w:r>
      <w:r w:rsidRPr="00074492">
        <w:rPr>
          <w:rFonts w:ascii="Times New Roman" w:hAnsi="Times New Roman"/>
          <w:bCs/>
          <w:i/>
          <w:iCs/>
          <w:sz w:val="20"/>
        </w:rPr>
        <w:t xml:space="preserve">sola </w:t>
      </w:r>
      <w:proofErr w:type="spellStart"/>
      <w:r w:rsidRPr="00074492">
        <w:rPr>
          <w:rFonts w:ascii="Times New Roman" w:hAnsi="Times New Roman"/>
          <w:bCs/>
          <w:i/>
          <w:iCs/>
          <w:sz w:val="20"/>
        </w:rPr>
        <w:t>Scriptura</w:t>
      </w:r>
      <w:proofErr w:type="spellEnd"/>
      <w:r w:rsidRPr="00074492">
        <w:rPr>
          <w:rFonts w:ascii="Times New Roman" w:hAnsi="Times New Roman"/>
          <w:bCs/>
          <w:sz w:val="20"/>
        </w:rPr>
        <w:t xml:space="preserve"> podkreśla, że </w:t>
      </w:r>
      <w:r w:rsidRPr="00074492">
        <w:rPr>
          <w:rFonts w:ascii="Times New Roman" w:hAnsi="Times New Roman"/>
          <w:bCs/>
          <w:i/>
          <w:iCs/>
          <w:sz w:val="20"/>
        </w:rPr>
        <w:t>Pismo Święte</w:t>
      </w:r>
      <w:r w:rsidRPr="00074492">
        <w:rPr>
          <w:rFonts w:ascii="Times New Roman" w:hAnsi="Times New Roman"/>
          <w:bCs/>
          <w:sz w:val="20"/>
        </w:rPr>
        <w:t xml:space="preserve"> jest kompletnym, samowystarczalnym i</w:t>
      </w:r>
      <w:r>
        <w:rPr>
          <w:rFonts w:ascii="Times New Roman" w:hAnsi="Times New Roman"/>
          <w:bCs/>
          <w:sz w:val="20"/>
        </w:rPr>
        <w:t> </w:t>
      </w:r>
      <w:r w:rsidRPr="00074492">
        <w:rPr>
          <w:rFonts w:ascii="Times New Roman" w:hAnsi="Times New Roman"/>
          <w:bCs/>
          <w:sz w:val="20"/>
        </w:rPr>
        <w:t>zrozumiałym objawieniem Boga. Kiedy Boże objawienie jest postrzegane jako niedogodność czy przeszkoda w</w:t>
      </w:r>
      <w:r>
        <w:rPr>
          <w:rFonts w:ascii="Times New Roman" w:hAnsi="Times New Roman"/>
          <w:bCs/>
          <w:sz w:val="20"/>
        </w:rPr>
        <w:t> </w:t>
      </w:r>
      <w:r w:rsidRPr="00074492">
        <w:rPr>
          <w:rFonts w:ascii="Times New Roman" w:hAnsi="Times New Roman"/>
          <w:bCs/>
          <w:sz w:val="20"/>
        </w:rPr>
        <w:t xml:space="preserve">realizacji ludzkich projektów, diabeł i fałszywi nauczyciele wprowadzają tradycję, by usprawiedliwić reinterpretację niewygodnych fragmentów </w:t>
      </w:r>
      <w:r w:rsidRPr="00074492">
        <w:rPr>
          <w:rFonts w:ascii="Times New Roman" w:hAnsi="Times New Roman"/>
          <w:bCs/>
          <w:i/>
          <w:iCs/>
          <w:sz w:val="20"/>
        </w:rPr>
        <w:t>Biblii</w:t>
      </w:r>
      <w:r w:rsidRPr="00074492">
        <w:rPr>
          <w:rFonts w:ascii="Times New Roman" w:hAnsi="Times New Roman"/>
          <w:bCs/>
          <w:sz w:val="20"/>
        </w:rPr>
        <w:t xml:space="preserve">, albo po prostu ustanawiają nowe nauki czy praktyki wprost przeciwne </w:t>
      </w:r>
      <w:r w:rsidRPr="00074492">
        <w:rPr>
          <w:rFonts w:ascii="Times New Roman" w:hAnsi="Times New Roman"/>
          <w:bCs/>
          <w:i/>
          <w:iCs/>
          <w:sz w:val="20"/>
        </w:rPr>
        <w:t>Pismu Świętemu</w:t>
      </w:r>
      <w:r w:rsidRPr="00074492">
        <w:rPr>
          <w:rFonts w:ascii="Times New Roman" w:hAnsi="Times New Roman"/>
          <w:bCs/>
          <w:sz w:val="20"/>
        </w:rPr>
        <w:t xml:space="preserve">. Tradycja i magisterium kościelne są przedstawiane jako wyłącznie uprawnione do interpretowania </w:t>
      </w:r>
      <w:r w:rsidRPr="00074492">
        <w:rPr>
          <w:rFonts w:ascii="Times New Roman" w:hAnsi="Times New Roman"/>
          <w:bCs/>
          <w:i/>
          <w:iCs/>
          <w:sz w:val="20"/>
        </w:rPr>
        <w:t>Biblii</w:t>
      </w:r>
      <w:r w:rsidRPr="00074492">
        <w:rPr>
          <w:rFonts w:ascii="Times New Roman" w:hAnsi="Times New Roman"/>
          <w:bCs/>
          <w:sz w:val="20"/>
        </w:rPr>
        <w:t xml:space="preserve"> i jedynie autorytatywne, mające moc tworzenia i ustanawiania dogmatów. Słowo Boże jest umniejszane, poniżane i oddawane we władzę Kościoła, choć </w:t>
      </w:r>
      <w:r w:rsidRPr="00074492">
        <w:rPr>
          <w:rFonts w:ascii="Times New Roman" w:hAnsi="Times New Roman"/>
          <w:bCs/>
          <w:i/>
          <w:iCs/>
          <w:sz w:val="20"/>
        </w:rPr>
        <w:t>Pismo Święte</w:t>
      </w:r>
      <w:r w:rsidRPr="00074492">
        <w:rPr>
          <w:rFonts w:ascii="Times New Roman" w:hAnsi="Times New Roman"/>
          <w:bCs/>
          <w:sz w:val="20"/>
        </w:rPr>
        <w:t xml:space="preserve"> wyraźnie mówi, że powinno być odwrotnie. W tej kwestii cytaty z oficjalnego katechizmu (</w:t>
      </w:r>
      <w:proofErr w:type="spellStart"/>
      <w:r w:rsidRPr="00074492">
        <w:rPr>
          <w:rFonts w:ascii="Times New Roman" w:hAnsi="Times New Roman"/>
          <w:i/>
          <w:iCs/>
          <w:sz w:val="20"/>
        </w:rPr>
        <w:t>Catechism</w:t>
      </w:r>
      <w:proofErr w:type="spellEnd"/>
      <w:r w:rsidRPr="00074492">
        <w:rPr>
          <w:rFonts w:ascii="Times New Roman" w:hAnsi="Times New Roman"/>
          <w:i/>
          <w:iCs/>
          <w:sz w:val="20"/>
        </w:rPr>
        <w:t xml:space="preserve"> of the </w:t>
      </w:r>
      <w:proofErr w:type="spellStart"/>
      <w:r w:rsidRPr="00074492">
        <w:rPr>
          <w:rFonts w:ascii="Times New Roman" w:hAnsi="Times New Roman"/>
          <w:i/>
          <w:iCs/>
          <w:sz w:val="20"/>
        </w:rPr>
        <w:t>Catholic</w:t>
      </w:r>
      <w:proofErr w:type="spellEnd"/>
      <w:r w:rsidRPr="00074492">
        <w:rPr>
          <w:rFonts w:ascii="Times New Roman" w:hAnsi="Times New Roman"/>
          <w:i/>
          <w:iCs/>
          <w:sz w:val="20"/>
        </w:rPr>
        <w:t xml:space="preserve"> Church</w:t>
      </w:r>
      <w:r w:rsidRPr="00074492">
        <w:rPr>
          <w:rFonts w:ascii="Times New Roman" w:hAnsi="Times New Roman"/>
          <w:bCs/>
          <w:sz w:val="20"/>
        </w:rPr>
        <w:t>) jawią się jako zdumiewające!</w:t>
      </w:r>
    </w:p>
    <w:p w14:paraId="0FD5AB14" w14:textId="2919A353" w:rsidR="00DE105B" w:rsidRPr="00074492" w:rsidRDefault="00DE105B" w:rsidP="00DE105B">
      <w:pPr>
        <w:rPr>
          <w:rFonts w:ascii="Times New Roman" w:hAnsi="Times New Roman"/>
          <w:bCs/>
          <w:sz w:val="20"/>
        </w:rPr>
      </w:pPr>
      <w:r w:rsidRPr="00074492">
        <w:rPr>
          <w:rFonts w:ascii="Times New Roman" w:hAnsi="Times New Roman"/>
          <w:bCs/>
          <w:sz w:val="20"/>
        </w:rPr>
        <w:t xml:space="preserve">Według katechizmu objawienie Boga „przez Jego Słowo w Duchu Świętym” jest „obecne i aktywne w </w:t>
      </w:r>
      <w:r>
        <w:rPr>
          <w:rFonts w:ascii="Times New Roman" w:hAnsi="Times New Roman"/>
          <w:bCs/>
          <w:sz w:val="20"/>
        </w:rPr>
        <w:t> </w:t>
      </w:r>
      <w:r w:rsidR="00C71B4B">
        <w:rPr>
          <w:rFonts w:ascii="Times New Roman" w:hAnsi="Times New Roman"/>
          <w:bCs/>
          <w:sz w:val="20"/>
        </w:rPr>
        <w:t>K</w:t>
      </w:r>
      <w:r w:rsidRPr="00074492">
        <w:rPr>
          <w:rFonts w:ascii="Times New Roman" w:hAnsi="Times New Roman"/>
          <w:bCs/>
          <w:sz w:val="20"/>
        </w:rPr>
        <w:t xml:space="preserve">ościele”, a zatem tradycja kościelna jest postrzegana jako nieodłączna część szczególnego Bożego objawienia, tak samo jak pisma proroków i apostołów </w:t>
      </w:r>
      <w:r w:rsidRPr="00074492">
        <w:rPr>
          <w:rFonts w:ascii="Times New Roman" w:hAnsi="Times New Roman"/>
          <w:sz w:val="20"/>
        </w:rPr>
        <w:t>(</w:t>
      </w:r>
      <w:proofErr w:type="spellStart"/>
      <w:r w:rsidRPr="00074492">
        <w:rPr>
          <w:rFonts w:ascii="Times New Roman" w:hAnsi="Times New Roman"/>
          <w:i/>
          <w:iCs/>
          <w:sz w:val="20"/>
        </w:rPr>
        <w:t>Catechism</w:t>
      </w:r>
      <w:proofErr w:type="spellEnd"/>
      <w:r w:rsidRPr="00074492">
        <w:rPr>
          <w:rFonts w:ascii="Times New Roman" w:hAnsi="Times New Roman"/>
          <w:i/>
          <w:iCs/>
          <w:sz w:val="20"/>
        </w:rPr>
        <w:t>...</w:t>
      </w:r>
      <w:r w:rsidRPr="00074492">
        <w:rPr>
          <w:rFonts w:ascii="Times New Roman" w:hAnsi="Times New Roman"/>
          <w:sz w:val="20"/>
        </w:rPr>
        <w:t>, s. 79)</w:t>
      </w:r>
      <w:r w:rsidRPr="00074492">
        <w:rPr>
          <w:rFonts w:ascii="Times New Roman" w:hAnsi="Times New Roman"/>
          <w:bCs/>
          <w:sz w:val="20"/>
        </w:rPr>
        <w:t xml:space="preserve">. Dlatego „Kościół, któremu powierzono przekazywanie i interpretowanie objawienia, »czerpie swoją pewność co do objawionych prawd nie tylko z </w:t>
      </w:r>
      <w:r w:rsidRPr="00074492">
        <w:rPr>
          <w:rFonts w:ascii="Times New Roman" w:hAnsi="Times New Roman"/>
          <w:bCs/>
          <w:i/>
          <w:iCs/>
          <w:sz w:val="20"/>
        </w:rPr>
        <w:t>Pisma Świętego</w:t>
      </w:r>
      <w:r w:rsidRPr="00074492">
        <w:rPr>
          <w:rFonts w:ascii="Times New Roman" w:hAnsi="Times New Roman"/>
          <w:bCs/>
          <w:sz w:val="20"/>
        </w:rPr>
        <w:t xml:space="preserve">. Zarówno </w:t>
      </w:r>
      <w:r w:rsidRPr="00074492">
        <w:rPr>
          <w:rFonts w:ascii="Times New Roman" w:hAnsi="Times New Roman"/>
          <w:bCs/>
          <w:i/>
          <w:iCs/>
          <w:sz w:val="20"/>
        </w:rPr>
        <w:t>Pismo Święte</w:t>
      </w:r>
      <w:r w:rsidRPr="00074492">
        <w:rPr>
          <w:rFonts w:ascii="Times New Roman" w:hAnsi="Times New Roman"/>
          <w:bCs/>
          <w:sz w:val="20"/>
        </w:rPr>
        <w:t xml:space="preserve"> jak i tradycja muszą być akceptowane i szanowane z jednakową nabożnością i</w:t>
      </w:r>
      <w:r w:rsidR="00C71B4B">
        <w:rPr>
          <w:rFonts w:ascii="Times New Roman" w:hAnsi="Times New Roman"/>
          <w:bCs/>
          <w:sz w:val="20"/>
        </w:rPr>
        <w:t> </w:t>
      </w:r>
      <w:r w:rsidRPr="00074492">
        <w:rPr>
          <w:rFonts w:ascii="Times New Roman" w:hAnsi="Times New Roman"/>
          <w:bCs/>
          <w:sz w:val="20"/>
        </w:rPr>
        <w:t xml:space="preserve">czcią«” </w:t>
      </w:r>
      <w:r w:rsidRPr="00074492">
        <w:rPr>
          <w:rFonts w:ascii="Times New Roman" w:hAnsi="Times New Roman"/>
          <w:sz w:val="20"/>
        </w:rPr>
        <w:t>(tamże, s. 82)</w:t>
      </w:r>
      <w:r w:rsidRPr="00074492">
        <w:rPr>
          <w:rFonts w:ascii="Times New Roman" w:hAnsi="Times New Roman"/>
          <w:bCs/>
          <w:sz w:val="20"/>
        </w:rPr>
        <w:t>.</w:t>
      </w:r>
    </w:p>
    <w:p w14:paraId="1310D989" w14:textId="77777777" w:rsidR="00DE105B" w:rsidRPr="00074492" w:rsidRDefault="00DE105B" w:rsidP="00DE105B">
      <w:pPr>
        <w:rPr>
          <w:rFonts w:ascii="Times New Roman" w:hAnsi="Times New Roman"/>
          <w:bCs/>
          <w:sz w:val="20"/>
        </w:rPr>
      </w:pPr>
      <w:r w:rsidRPr="00074492">
        <w:rPr>
          <w:rFonts w:ascii="Times New Roman" w:hAnsi="Times New Roman"/>
          <w:bCs/>
          <w:sz w:val="20"/>
        </w:rPr>
        <w:t xml:space="preserve">Oczywiście katechizm podkreśla, że magisterium, będąc jedynym interpretatorem </w:t>
      </w:r>
      <w:r w:rsidRPr="00074492">
        <w:rPr>
          <w:rFonts w:ascii="Times New Roman" w:hAnsi="Times New Roman"/>
          <w:bCs/>
          <w:i/>
          <w:iCs/>
          <w:sz w:val="20"/>
        </w:rPr>
        <w:t>Pisma Świętego</w:t>
      </w:r>
      <w:r w:rsidRPr="00074492">
        <w:rPr>
          <w:rFonts w:ascii="Times New Roman" w:hAnsi="Times New Roman"/>
          <w:bCs/>
          <w:sz w:val="20"/>
        </w:rPr>
        <w:t xml:space="preserve"> </w:t>
      </w:r>
      <w:r w:rsidRPr="00074492">
        <w:rPr>
          <w:rFonts w:ascii="Times New Roman" w:hAnsi="Times New Roman"/>
          <w:sz w:val="20"/>
        </w:rPr>
        <w:t>(tamże, s. 86.100)</w:t>
      </w:r>
      <w:r w:rsidRPr="00074492">
        <w:rPr>
          <w:rFonts w:ascii="Times New Roman" w:hAnsi="Times New Roman"/>
          <w:bCs/>
          <w:sz w:val="20"/>
        </w:rPr>
        <w:t xml:space="preserve">, „nie jest przełożonym Słowa Bożego, ale jego sługą” </w:t>
      </w:r>
      <w:r w:rsidRPr="00074492">
        <w:rPr>
          <w:rFonts w:ascii="Times New Roman" w:hAnsi="Times New Roman"/>
          <w:sz w:val="20"/>
        </w:rPr>
        <w:t>(tamże, s. 86)</w:t>
      </w:r>
      <w:r w:rsidRPr="00074492">
        <w:rPr>
          <w:rFonts w:ascii="Times New Roman" w:hAnsi="Times New Roman"/>
          <w:bCs/>
          <w:sz w:val="20"/>
        </w:rPr>
        <w:t xml:space="preserve">. Jednak magisterium czerpie nie tylko z </w:t>
      </w:r>
      <w:r w:rsidRPr="00074492">
        <w:rPr>
          <w:rFonts w:ascii="Times New Roman" w:hAnsi="Times New Roman"/>
          <w:bCs/>
          <w:i/>
          <w:iCs/>
          <w:sz w:val="20"/>
        </w:rPr>
        <w:t>Pisma Świętego</w:t>
      </w:r>
      <w:r w:rsidRPr="00074492">
        <w:rPr>
          <w:rFonts w:ascii="Times New Roman" w:hAnsi="Times New Roman"/>
          <w:bCs/>
          <w:sz w:val="20"/>
        </w:rPr>
        <w:t xml:space="preserve">, ale także z tradycji </w:t>
      </w:r>
      <w:r w:rsidRPr="00074492">
        <w:rPr>
          <w:rFonts w:ascii="Times New Roman" w:hAnsi="Times New Roman"/>
          <w:sz w:val="20"/>
        </w:rPr>
        <w:t>(tamże, s. 82)</w:t>
      </w:r>
      <w:r w:rsidRPr="00074492">
        <w:rPr>
          <w:rFonts w:ascii="Times New Roman" w:hAnsi="Times New Roman"/>
          <w:bCs/>
          <w:sz w:val="20"/>
        </w:rPr>
        <w:t xml:space="preserve">. Ponieważ tradycja jest równie autorytatywna jak </w:t>
      </w:r>
      <w:r w:rsidRPr="00074492">
        <w:rPr>
          <w:rFonts w:ascii="Times New Roman" w:hAnsi="Times New Roman"/>
          <w:bCs/>
          <w:i/>
          <w:iCs/>
          <w:sz w:val="20"/>
        </w:rPr>
        <w:t>Pismo Święte</w:t>
      </w:r>
      <w:r w:rsidRPr="00074492">
        <w:rPr>
          <w:rFonts w:ascii="Times New Roman" w:hAnsi="Times New Roman"/>
          <w:bCs/>
          <w:sz w:val="20"/>
        </w:rPr>
        <w:t xml:space="preserve">, a magisterium („papież i biskupi w łączności z nim”) ma wyłączny autorytet „autentycznego” interpretowania Słowa Bożego </w:t>
      </w:r>
      <w:r w:rsidRPr="00074492">
        <w:rPr>
          <w:rFonts w:ascii="Times New Roman" w:hAnsi="Times New Roman"/>
          <w:sz w:val="20"/>
        </w:rPr>
        <w:t>(</w:t>
      </w:r>
      <w:r w:rsidRPr="00074492">
        <w:rPr>
          <w:rFonts w:ascii="Times New Roman" w:hAnsi="Times New Roman"/>
          <w:iCs/>
          <w:sz w:val="20"/>
        </w:rPr>
        <w:t>tamże, s.</w:t>
      </w:r>
      <w:r w:rsidRPr="00074492">
        <w:rPr>
          <w:rFonts w:ascii="Times New Roman" w:hAnsi="Times New Roman"/>
          <w:i/>
          <w:iCs/>
          <w:sz w:val="20"/>
        </w:rPr>
        <w:t> </w:t>
      </w:r>
      <w:r w:rsidRPr="00074492">
        <w:rPr>
          <w:rFonts w:ascii="Times New Roman" w:hAnsi="Times New Roman"/>
          <w:sz w:val="20"/>
        </w:rPr>
        <w:t>100)</w:t>
      </w:r>
      <w:r w:rsidRPr="00074492">
        <w:rPr>
          <w:rFonts w:ascii="Times New Roman" w:hAnsi="Times New Roman"/>
          <w:bCs/>
          <w:sz w:val="20"/>
        </w:rPr>
        <w:t xml:space="preserve">, magisterium czerpie materiał zarówno z tradycji jak i </w:t>
      </w:r>
      <w:r w:rsidRPr="00074492">
        <w:rPr>
          <w:rFonts w:ascii="Times New Roman" w:hAnsi="Times New Roman"/>
          <w:bCs/>
          <w:i/>
          <w:iCs/>
          <w:sz w:val="20"/>
        </w:rPr>
        <w:t>Pisma Świętego</w:t>
      </w:r>
      <w:r w:rsidRPr="00074492">
        <w:rPr>
          <w:rFonts w:ascii="Times New Roman" w:hAnsi="Times New Roman"/>
          <w:bCs/>
          <w:sz w:val="20"/>
        </w:rPr>
        <w:t>, kiedy jest to dogodne.</w:t>
      </w:r>
    </w:p>
    <w:p w14:paraId="08762A40" w14:textId="77777777" w:rsidR="00DE105B" w:rsidRPr="00074492" w:rsidRDefault="00DE105B" w:rsidP="00DE105B">
      <w:pPr>
        <w:rPr>
          <w:rFonts w:ascii="Times New Roman" w:hAnsi="Times New Roman"/>
          <w:bCs/>
          <w:sz w:val="20"/>
        </w:rPr>
      </w:pPr>
      <w:r w:rsidRPr="00074492">
        <w:rPr>
          <w:rFonts w:ascii="Times New Roman" w:hAnsi="Times New Roman"/>
          <w:bCs/>
          <w:sz w:val="20"/>
        </w:rPr>
        <w:t xml:space="preserve">Doświadczenia Izraelitów z północnego królestwa i Judy wskazują, że kiedy tradycja jest stawiana na równi z </w:t>
      </w:r>
      <w:r w:rsidRPr="00074492">
        <w:rPr>
          <w:rFonts w:ascii="Times New Roman" w:hAnsi="Times New Roman"/>
          <w:bCs/>
          <w:i/>
          <w:iCs/>
          <w:sz w:val="20"/>
        </w:rPr>
        <w:t>Pismem Świętym</w:t>
      </w:r>
      <w:r w:rsidRPr="00074492">
        <w:rPr>
          <w:rFonts w:ascii="Times New Roman" w:hAnsi="Times New Roman"/>
          <w:bCs/>
          <w:sz w:val="20"/>
        </w:rPr>
        <w:t xml:space="preserve">, to drugie jest spychane na niższy poziom - z poziomu Boskiego na ludzki - a z czasem zupełnie lekceważone </w:t>
      </w:r>
      <w:r w:rsidRPr="00074492">
        <w:rPr>
          <w:rFonts w:ascii="Times New Roman" w:hAnsi="Times New Roman"/>
          <w:iCs/>
          <w:sz w:val="20"/>
        </w:rPr>
        <w:t>(Mt 15,3-6)</w:t>
      </w:r>
      <w:r w:rsidRPr="00074492">
        <w:rPr>
          <w:rFonts w:ascii="Times New Roman" w:hAnsi="Times New Roman"/>
          <w:bCs/>
          <w:sz w:val="20"/>
        </w:rPr>
        <w:t xml:space="preserve"> i dopasowywane do ludzkiego światopoglądu. W ten sposób jego autorytet jest obalany. To podważanie biblijnego autorytetu nastąpiło właśnie w Kościele Rzymskokatolickim. Kościół coraz mocniej podkreślał tradycję i przyjmował filozoficzne założenia, a jego nauki i praktyki zmieniały się radykalnie, odwodząc go coraz dalej od wzorca apostolskiego Kościoła.</w:t>
      </w:r>
    </w:p>
    <w:p w14:paraId="383F85AF" w14:textId="77777777" w:rsidR="00DE105B" w:rsidRPr="00074492" w:rsidRDefault="00DE105B" w:rsidP="00DE105B">
      <w:pPr>
        <w:rPr>
          <w:rFonts w:ascii="Times New Roman" w:hAnsi="Times New Roman"/>
          <w:bCs/>
          <w:sz w:val="20"/>
        </w:rPr>
      </w:pPr>
      <w:r w:rsidRPr="00074492">
        <w:rPr>
          <w:rFonts w:ascii="Times New Roman" w:hAnsi="Times New Roman"/>
          <w:bCs/>
          <w:sz w:val="20"/>
        </w:rPr>
        <w:t xml:space="preserve">Błędnie interpretując </w:t>
      </w:r>
      <w:r w:rsidRPr="00074492">
        <w:rPr>
          <w:rFonts w:ascii="Times New Roman" w:hAnsi="Times New Roman"/>
          <w:bCs/>
          <w:i/>
          <w:iCs/>
          <w:sz w:val="20"/>
        </w:rPr>
        <w:t>Pismo Święte</w:t>
      </w:r>
      <w:r w:rsidRPr="00074492">
        <w:rPr>
          <w:rFonts w:ascii="Times New Roman" w:hAnsi="Times New Roman"/>
          <w:bCs/>
          <w:sz w:val="20"/>
        </w:rPr>
        <w:t xml:space="preserve"> i formułując poglądy przeciwne </w:t>
      </w:r>
      <w:r w:rsidRPr="00074492">
        <w:rPr>
          <w:rFonts w:ascii="Times New Roman" w:hAnsi="Times New Roman"/>
          <w:bCs/>
          <w:i/>
          <w:iCs/>
          <w:sz w:val="20"/>
        </w:rPr>
        <w:t>Biblii</w:t>
      </w:r>
      <w:r w:rsidRPr="00074492">
        <w:rPr>
          <w:rFonts w:ascii="Times New Roman" w:hAnsi="Times New Roman"/>
          <w:bCs/>
          <w:sz w:val="20"/>
        </w:rPr>
        <w:t>, Kościół Rzymskokatolicki ustanowił następujące fałszywe twierdzenia:</w:t>
      </w:r>
    </w:p>
    <w:p w14:paraId="77F85965" w14:textId="00E4A227" w:rsidR="00DE105B" w:rsidRPr="00074492" w:rsidRDefault="00DE105B" w:rsidP="00DE105B">
      <w:pPr>
        <w:rPr>
          <w:rFonts w:ascii="Times New Roman" w:hAnsi="Times New Roman"/>
          <w:bCs/>
          <w:sz w:val="20"/>
        </w:rPr>
      </w:pPr>
      <w:r w:rsidRPr="00074492">
        <w:rPr>
          <w:rFonts w:ascii="Times New Roman" w:hAnsi="Times New Roman"/>
          <w:bCs/>
          <w:sz w:val="20"/>
        </w:rPr>
        <w:t>• Kościół ma prawo zmienić dzień odpoczynku z soboty, siódmego dnia tygodnia, na niedzielę, pierwszy dzień tygodnia, świadomie unieważniając czwarte przykazanie i umniejszając tym status Boga jako Stwórcy i</w:t>
      </w:r>
      <w:r w:rsidR="00C71B4B">
        <w:rPr>
          <w:rFonts w:ascii="Times New Roman" w:hAnsi="Times New Roman"/>
          <w:bCs/>
          <w:sz w:val="20"/>
        </w:rPr>
        <w:t> </w:t>
      </w:r>
      <w:r w:rsidRPr="00074492">
        <w:rPr>
          <w:rFonts w:ascii="Times New Roman" w:hAnsi="Times New Roman"/>
          <w:bCs/>
          <w:sz w:val="20"/>
        </w:rPr>
        <w:t>Króla.</w:t>
      </w:r>
    </w:p>
    <w:p w14:paraId="0D8A7B32" w14:textId="77777777" w:rsidR="00DE105B" w:rsidRPr="00074492" w:rsidRDefault="00DE105B" w:rsidP="00DE105B">
      <w:pPr>
        <w:rPr>
          <w:rFonts w:ascii="Times New Roman" w:hAnsi="Times New Roman"/>
          <w:bCs/>
          <w:sz w:val="20"/>
        </w:rPr>
      </w:pPr>
      <w:r w:rsidRPr="00074492">
        <w:rPr>
          <w:rFonts w:ascii="Times New Roman" w:hAnsi="Times New Roman"/>
          <w:bCs/>
          <w:sz w:val="20"/>
        </w:rPr>
        <w:t>• Chrystus ustanowił biskupa Rzymu głową Kościoła, a sakramentalną kościelną hierarchię - przywódcami Kościoła.</w:t>
      </w:r>
    </w:p>
    <w:p w14:paraId="14A4D840" w14:textId="77777777" w:rsidR="00DE105B" w:rsidRPr="00074492" w:rsidRDefault="00DE105B" w:rsidP="00DE105B">
      <w:pPr>
        <w:rPr>
          <w:rFonts w:ascii="Times New Roman" w:hAnsi="Times New Roman"/>
          <w:bCs/>
          <w:sz w:val="20"/>
        </w:rPr>
      </w:pPr>
      <w:r w:rsidRPr="00074492">
        <w:rPr>
          <w:rFonts w:ascii="Times New Roman" w:hAnsi="Times New Roman"/>
          <w:bCs/>
          <w:sz w:val="20"/>
        </w:rPr>
        <w:t>• Kościół jest niezbędnym elementem Bożego zbawienia.</w:t>
      </w:r>
    </w:p>
    <w:p w14:paraId="1308D3BD" w14:textId="77777777" w:rsidR="00DE105B" w:rsidRPr="00074492" w:rsidRDefault="00DE105B" w:rsidP="00DE105B">
      <w:pPr>
        <w:rPr>
          <w:rFonts w:ascii="Times New Roman" w:hAnsi="Times New Roman"/>
          <w:bCs/>
          <w:sz w:val="20"/>
        </w:rPr>
      </w:pPr>
      <w:r w:rsidRPr="00074492">
        <w:rPr>
          <w:rFonts w:ascii="Times New Roman" w:hAnsi="Times New Roman"/>
          <w:bCs/>
          <w:sz w:val="20"/>
        </w:rPr>
        <w:t>• Kościół i święci mogą wstawiać się za ludźmi i oferować swoje zasługi dla ich zbawienia.</w:t>
      </w:r>
    </w:p>
    <w:p w14:paraId="54AFADE2" w14:textId="77777777" w:rsidR="00DE105B" w:rsidRPr="00074492" w:rsidRDefault="00DE105B" w:rsidP="00DE105B">
      <w:pPr>
        <w:rPr>
          <w:rFonts w:ascii="Times New Roman" w:hAnsi="Times New Roman"/>
          <w:bCs/>
          <w:sz w:val="20"/>
        </w:rPr>
      </w:pPr>
      <w:r w:rsidRPr="00074492">
        <w:rPr>
          <w:rFonts w:ascii="Times New Roman" w:hAnsi="Times New Roman"/>
          <w:bCs/>
          <w:sz w:val="20"/>
        </w:rPr>
        <w:t>• Maria, matka Jezusa, urodziła się jako bezgrzeszna (niepokalanie poczęta).</w:t>
      </w:r>
    </w:p>
    <w:p w14:paraId="72AEA817" w14:textId="77777777" w:rsidR="00DE105B" w:rsidRPr="00074492" w:rsidRDefault="00DE105B" w:rsidP="00DE105B">
      <w:pPr>
        <w:rPr>
          <w:rFonts w:ascii="Times New Roman" w:hAnsi="Times New Roman"/>
          <w:bCs/>
          <w:sz w:val="20"/>
        </w:rPr>
      </w:pPr>
      <w:r w:rsidRPr="00074492">
        <w:rPr>
          <w:rFonts w:ascii="Times New Roman" w:hAnsi="Times New Roman"/>
          <w:bCs/>
          <w:sz w:val="20"/>
        </w:rPr>
        <w:t>• Maria ma szczególną rolę w zbawieniu i jest Pośredniczką (</w:t>
      </w:r>
      <w:proofErr w:type="spellStart"/>
      <w:r w:rsidRPr="00074492">
        <w:rPr>
          <w:rFonts w:ascii="Times New Roman" w:hAnsi="Times New Roman"/>
          <w:bCs/>
          <w:sz w:val="20"/>
        </w:rPr>
        <w:t>Mediatrix</w:t>
      </w:r>
      <w:proofErr w:type="spellEnd"/>
      <w:r w:rsidRPr="00074492">
        <w:rPr>
          <w:rFonts w:ascii="Times New Roman" w:hAnsi="Times New Roman"/>
          <w:bCs/>
          <w:sz w:val="20"/>
        </w:rPr>
        <w:t xml:space="preserve">), Obrończynią i Pomocniczką, choć tytuły te </w:t>
      </w:r>
      <w:r w:rsidRPr="00074492">
        <w:rPr>
          <w:rFonts w:ascii="Times New Roman" w:hAnsi="Times New Roman"/>
          <w:bCs/>
          <w:i/>
          <w:iCs/>
          <w:sz w:val="20"/>
        </w:rPr>
        <w:t>Pismo Święte</w:t>
      </w:r>
      <w:r w:rsidRPr="00074492">
        <w:rPr>
          <w:rFonts w:ascii="Times New Roman" w:hAnsi="Times New Roman"/>
          <w:bCs/>
          <w:sz w:val="20"/>
        </w:rPr>
        <w:t xml:space="preserve"> rezerwuje dla Chrystusa i Ducha Świętego.</w:t>
      </w:r>
    </w:p>
    <w:p w14:paraId="31737743" w14:textId="77777777" w:rsidR="00DE105B" w:rsidRPr="00074492" w:rsidRDefault="00DE105B" w:rsidP="00DE105B">
      <w:pPr>
        <w:rPr>
          <w:rFonts w:ascii="Times New Roman" w:hAnsi="Times New Roman"/>
          <w:bCs/>
          <w:sz w:val="20"/>
        </w:rPr>
      </w:pPr>
      <w:r w:rsidRPr="00074492">
        <w:rPr>
          <w:rFonts w:ascii="Times New Roman" w:hAnsi="Times New Roman"/>
          <w:bCs/>
          <w:sz w:val="20"/>
        </w:rPr>
        <w:t>• Zbawienie jest z uczynków, takich jak pokuta i odpusty.</w:t>
      </w:r>
    </w:p>
    <w:p w14:paraId="35B31763" w14:textId="77777777" w:rsidR="00DE105B" w:rsidRPr="00074492" w:rsidRDefault="00DE105B" w:rsidP="00DE105B">
      <w:pPr>
        <w:rPr>
          <w:rFonts w:ascii="Times New Roman" w:hAnsi="Times New Roman"/>
          <w:bCs/>
          <w:sz w:val="20"/>
        </w:rPr>
      </w:pPr>
      <w:r w:rsidRPr="00074492">
        <w:rPr>
          <w:rFonts w:ascii="Times New Roman" w:hAnsi="Times New Roman"/>
          <w:bCs/>
          <w:sz w:val="20"/>
        </w:rPr>
        <w:t>• Dusza jest nieśmiertelna, piekło jest wieczne, a czyściec istnieje.</w:t>
      </w:r>
    </w:p>
    <w:p w14:paraId="329506D5" w14:textId="77777777" w:rsidR="00DE105B" w:rsidRPr="00074492" w:rsidRDefault="00DE105B" w:rsidP="00DE105B">
      <w:pPr>
        <w:rPr>
          <w:rFonts w:ascii="Times New Roman" w:hAnsi="Times New Roman"/>
          <w:bCs/>
          <w:sz w:val="20"/>
        </w:rPr>
      </w:pPr>
      <w:r w:rsidRPr="00074492">
        <w:rPr>
          <w:rFonts w:ascii="Times New Roman" w:hAnsi="Times New Roman"/>
          <w:bCs/>
          <w:sz w:val="20"/>
        </w:rPr>
        <w:t>• Istnieje siedem sakramentów mających zbawczą wartość.</w:t>
      </w:r>
    </w:p>
    <w:p w14:paraId="1A33F95D" w14:textId="77777777" w:rsidR="00DE105B" w:rsidRPr="00074492" w:rsidRDefault="00DE105B" w:rsidP="00DE105B">
      <w:pPr>
        <w:rPr>
          <w:rFonts w:ascii="Times New Roman" w:hAnsi="Times New Roman"/>
          <w:bCs/>
          <w:sz w:val="20"/>
        </w:rPr>
      </w:pPr>
      <w:r w:rsidRPr="00074492">
        <w:rPr>
          <w:rFonts w:ascii="Times New Roman" w:hAnsi="Times New Roman"/>
          <w:bCs/>
          <w:sz w:val="20"/>
        </w:rPr>
        <w:t>• Chrzczenie niemowląt jest konieczne.</w:t>
      </w:r>
    </w:p>
    <w:p w14:paraId="56F23269" w14:textId="77777777" w:rsidR="00DE105B" w:rsidRPr="00074492" w:rsidRDefault="00DE105B" w:rsidP="00DE105B">
      <w:pPr>
        <w:rPr>
          <w:rFonts w:ascii="Times New Roman" w:hAnsi="Times New Roman"/>
          <w:bCs/>
          <w:vanish/>
          <w:sz w:val="20"/>
          <w:specVanish/>
        </w:rPr>
      </w:pPr>
      <w:r w:rsidRPr="00074492">
        <w:rPr>
          <w:rFonts w:ascii="Times New Roman" w:hAnsi="Times New Roman"/>
          <w:bCs/>
          <w:sz w:val="20"/>
        </w:rPr>
        <w:t xml:space="preserve">• Chleb i wino podczas mszy zmieniają </w:t>
      </w:r>
    </w:p>
    <w:p w14:paraId="2484C6E1"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się w rzeczywiste ciało i rzeczywistą krew Chrystusa (transsubstancjacja).</w:t>
      </w:r>
    </w:p>
    <w:p w14:paraId="14CE6C53"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Laikat nie może spożywać wina komunijnego.</w:t>
      </w:r>
    </w:p>
    <w:p w14:paraId="4E1E63AC"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lastRenderedPageBreak/>
        <w:t>• Kapłani są uczestnikami sakramentu kapłaństwa i usługują zbawieniem.</w:t>
      </w:r>
    </w:p>
    <w:p w14:paraId="7EE2AE2C"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Kapłanów obowiązuje celibat.</w:t>
      </w:r>
    </w:p>
    <w:p w14:paraId="5940D561"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Chrześcijanie nie tylko mogą, ale powinni oddawać cześć obrazom i posągom, choć jest to bezpośrednim złamaniem drugiego przykazania biblijnego Dekalogu.</w:t>
      </w:r>
    </w:p>
    <w:p w14:paraId="2746CCC5"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Wobec tak zdumiewająco błędnej interpretacji, a właściwie rażącego odrzucenia </w:t>
      </w:r>
      <w:r w:rsidRPr="00074492">
        <w:rPr>
          <w:rFonts w:ascii="Times New Roman" w:hAnsi="Times New Roman"/>
          <w:i/>
          <w:iCs/>
          <w:sz w:val="20"/>
        </w:rPr>
        <w:t>Pisma Świętego</w:t>
      </w:r>
      <w:r w:rsidRPr="00074492">
        <w:rPr>
          <w:rFonts w:ascii="Times New Roman" w:hAnsi="Times New Roman"/>
          <w:sz w:val="20"/>
        </w:rPr>
        <w:t xml:space="preserve"> i jego nauki przez ponad tysiąc lat przez zdeklarowany lud Boży, nic dziwnego, że Bóg ukazuje </w:t>
      </w:r>
      <w:r w:rsidRPr="00074492">
        <w:rPr>
          <w:rFonts w:ascii="Times New Roman" w:hAnsi="Times New Roman"/>
          <w:i/>
          <w:iCs/>
          <w:sz w:val="20"/>
        </w:rPr>
        <w:t>Pismo Święte</w:t>
      </w:r>
      <w:r w:rsidRPr="00074492">
        <w:rPr>
          <w:rFonts w:ascii="Times New Roman" w:hAnsi="Times New Roman"/>
          <w:sz w:val="20"/>
        </w:rPr>
        <w:t xml:space="preserve"> jako swoich dwóch świadków prorokujących w zgrzebnych worach.</w:t>
      </w:r>
    </w:p>
    <w:p w14:paraId="622A75EF" w14:textId="0D1D2E14"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Owszem, w końcu dwaj świadkowie zostali zabici w świeckim kontekście (rewolucji we Francji), w</w:t>
      </w:r>
      <w:r w:rsidR="00C71B4B">
        <w:rPr>
          <w:rFonts w:ascii="Times New Roman" w:hAnsi="Times New Roman"/>
          <w:sz w:val="20"/>
        </w:rPr>
        <w:t> </w:t>
      </w:r>
      <w:r w:rsidRPr="00074492">
        <w:rPr>
          <w:rFonts w:ascii="Times New Roman" w:hAnsi="Times New Roman"/>
          <w:sz w:val="20"/>
        </w:rPr>
        <w:t xml:space="preserve">przeciwieństwie do kontekstu religijnego. Jednak ateistyczna francuska rewolucja była w gruncie rzeczy reakcją na wielowiekowe bezprawie Kościoła Katolickiego przeciwko Bogu, Jego objawieniu i ludzkości rozpaczliwie potrzebującej zbawienia. Wielki bój jest bardzo złożony. Diabeł usiłuje podważyć Boże objawienie dane ludziom w Słowie Bożym. Swoje wysiłki w tym celu koncentruje w Kościele. Jednak protestancka zasada </w:t>
      </w:r>
      <w:r w:rsidRPr="00074492">
        <w:rPr>
          <w:rFonts w:ascii="Times New Roman" w:hAnsi="Times New Roman"/>
          <w:i/>
          <w:iCs/>
          <w:sz w:val="20"/>
        </w:rPr>
        <w:t xml:space="preserve">sola </w:t>
      </w:r>
      <w:proofErr w:type="spellStart"/>
      <w:r w:rsidRPr="00074492">
        <w:rPr>
          <w:rFonts w:ascii="Times New Roman" w:hAnsi="Times New Roman"/>
          <w:i/>
          <w:iCs/>
          <w:sz w:val="20"/>
        </w:rPr>
        <w:t>Scriptura</w:t>
      </w:r>
      <w:proofErr w:type="spellEnd"/>
      <w:r w:rsidRPr="00074492">
        <w:rPr>
          <w:rFonts w:ascii="Times New Roman" w:hAnsi="Times New Roman"/>
          <w:sz w:val="20"/>
        </w:rPr>
        <w:t xml:space="preserve">, ruch towarzystw biblijnych i misyjnych, adwentystyczne </w:t>
      </w:r>
      <w:proofErr w:type="spellStart"/>
      <w:r w:rsidRPr="00074492">
        <w:rPr>
          <w:rFonts w:ascii="Times New Roman" w:hAnsi="Times New Roman"/>
          <w:sz w:val="20"/>
        </w:rPr>
        <w:t>trójanielskie</w:t>
      </w:r>
      <w:proofErr w:type="spellEnd"/>
      <w:r w:rsidRPr="00074492">
        <w:rPr>
          <w:rFonts w:ascii="Times New Roman" w:hAnsi="Times New Roman"/>
          <w:sz w:val="20"/>
        </w:rPr>
        <w:t xml:space="preserve"> poselstwo i głośne wołanie odniosą ostatecznie zwycięstwo. Słowo Boże z pełną wyrazistością przekaże ludzkości przesłanie Bożej miłości.</w:t>
      </w:r>
    </w:p>
    <w:p w14:paraId="11FB3FE6"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6ECF0782" w14:textId="77777777" w:rsidR="00DE105B" w:rsidRPr="00074492" w:rsidRDefault="00DE105B" w:rsidP="00DE105B">
      <w:pPr>
        <w:rPr>
          <w:rFonts w:ascii="Times New Roman" w:hAnsi="Times New Roman"/>
          <w:sz w:val="20"/>
        </w:rPr>
      </w:pPr>
      <w:r w:rsidRPr="00074492">
        <w:rPr>
          <w:rFonts w:ascii="Times New Roman" w:hAnsi="Times New Roman"/>
          <w:b/>
          <w:sz w:val="20"/>
        </w:rPr>
        <w:t>Część III: Zastosowanie</w:t>
      </w:r>
    </w:p>
    <w:p w14:paraId="176005D5" w14:textId="77777777" w:rsidR="00DE105B" w:rsidRPr="00074492" w:rsidRDefault="00DE105B" w:rsidP="00DE105B">
      <w:pPr>
        <w:rPr>
          <w:rFonts w:ascii="Times New Roman" w:hAnsi="Times New Roman"/>
          <w:sz w:val="20"/>
        </w:rPr>
      </w:pPr>
    </w:p>
    <w:p w14:paraId="59CC7CBE"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1. Wyobraź sobie, że żyjesz ok. 700 roku, czyli ok. 160 lat po roku 538, w którym rozpoczął się proroczy okres 1260 lat. Wyobraź sobie, że jako człowiek studiujący Biblię i będący zaangażowanym chrześcijaninem rozumiesz, że okres 1260 lat prześladowań dwóch świadków dopiero się rozpoczął, więc minie jeszcze wiele wieków, zanim prześladowania ustaną. Jak zachowałbyś nadzieję, wiedząc, że nie doczekasz końca prześladowań, a twoi potomkowie będą je znosić przez wiele pokoleń? Jak trwałbyś w pobożności i głosił Słowo Boże, wiedząc, że zwycięstwo nastąpi nie wcześniej niż za tysiąc lat? Jak przygotowałbyś swoje dzieci na to, co je czeka? Jak twoje odpowiedzi mogą inspirować twoją wiarę dzisiaj w oczekiwaniu na powtórne przyjście Jezusa?</w:t>
      </w:r>
    </w:p>
    <w:p w14:paraId="14DA5FFD"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18A13405"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t>
      </w:r>
    </w:p>
    <w:p w14:paraId="7B5565C0"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162D70F6" w14:textId="19C347D6"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2. Choć rewolucja we Francji wywarła wpływ na światopogląd ludzi na całym świecie, zmieniając ich nastawienia i działania, najsilniej odcisnęła swoje piętno na Zachodzie. Jeśli żyjesz w tej części świata, jak możesz podkreślać znaczenie zmartwychwstania i służby „dwóch świadków”? Jeśli mieszkasz w innej części świata, w</w:t>
      </w:r>
      <w:r w:rsidR="00C71B4B">
        <w:rPr>
          <w:rFonts w:ascii="Times New Roman" w:hAnsi="Times New Roman"/>
          <w:sz w:val="20"/>
        </w:rPr>
        <w:t> </w:t>
      </w:r>
      <w:r w:rsidRPr="00074492">
        <w:rPr>
          <w:rFonts w:ascii="Times New Roman" w:hAnsi="Times New Roman"/>
          <w:sz w:val="20"/>
        </w:rPr>
        <w:t xml:space="preserve">której wpływ świeckiej i ateistycznej rewolucji we Francji nie zaznaczył się wyraźnie, jak twoi rodacy w </w:t>
      </w:r>
      <w:r w:rsidR="00C71B4B">
        <w:rPr>
          <w:rFonts w:ascii="Times New Roman" w:hAnsi="Times New Roman"/>
          <w:sz w:val="20"/>
        </w:rPr>
        <w:t> p</w:t>
      </w:r>
      <w:r w:rsidRPr="00074492">
        <w:rPr>
          <w:rFonts w:ascii="Times New Roman" w:hAnsi="Times New Roman"/>
          <w:sz w:val="20"/>
        </w:rPr>
        <w:t>rzeszłości usiłowali „zabić” dwóch świadków czy zmusić ich do prorokowania w worach? Jak ty i twój zbór możecie uczestniczyć w zmartwychwstaniu i służbie dwóch świadków?</w:t>
      </w:r>
    </w:p>
    <w:p w14:paraId="68534ABB"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5E66DF11" w14:textId="77777777" w:rsidR="00DE105B" w:rsidRPr="00074492" w:rsidRDefault="00DE105B" w:rsidP="00DE1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t>
      </w:r>
    </w:p>
    <w:bookmarkEnd w:id="0"/>
    <w:p w14:paraId="25FA607D" w14:textId="4D4E8D56" w:rsidR="006A2EC2" w:rsidRPr="00267B4D" w:rsidRDefault="00FD7595" w:rsidP="00DE105B">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14C9418E" wp14:editId="779D2C6A">
                <wp:simplePos x="0" y="0"/>
                <wp:positionH relativeFrom="column">
                  <wp:posOffset>-288925</wp:posOffset>
                </wp:positionH>
                <wp:positionV relativeFrom="paragraph">
                  <wp:posOffset>401320</wp:posOffset>
                </wp:positionV>
                <wp:extent cx="6408420" cy="1957070"/>
                <wp:effectExtent l="0" t="0" r="0" b="5080"/>
                <wp:wrapNone/>
                <wp:docPr id="675440893" name="Pole tekstowe 2"/>
                <wp:cNvGraphicFramePr/>
                <a:graphic xmlns:a="http://schemas.openxmlformats.org/drawingml/2006/main">
                  <a:graphicData uri="http://schemas.microsoft.com/office/word/2010/wordprocessingShape">
                    <wps:wsp>
                      <wps:cNvSpPr txBox="1"/>
                      <wps:spPr>
                        <a:xfrm>
                          <a:off x="0" y="0"/>
                          <a:ext cx="6408420" cy="1957070"/>
                        </a:xfrm>
                        <a:prstGeom prst="rect">
                          <a:avLst/>
                        </a:prstGeom>
                        <a:solidFill>
                          <a:schemeClr val="lt1"/>
                        </a:solidFill>
                        <a:ln w="6350">
                          <a:noFill/>
                        </a:ln>
                      </wps:spPr>
                      <wps:txb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FD7595" w14:paraId="62321729"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6AA70D15" w14:textId="7C558168" w:rsidR="00FD7595" w:rsidRDefault="00FD7595">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07E4ABFF" wp14:editId="7E862C11">
                                        <wp:extent cx="998220" cy="937260"/>
                                        <wp:effectExtent l="0" t="0" r="0" b="0"/>
                                        <wp:docPr id="197680338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44429113"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998220" cy="93726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25ADC85B" w14:textId="77777777" w:rsidR="00FD7595" w:rsidRDefault="00FD7595">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16EC09DA" w14:textId="77777777" w:rsidR="00FD7595" w:rsidRDefault="00FD7595" w:rsidP="00FD7595">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7842ABE9" w14:textId="77777777" w:rsidR="00FD7595" w:rsidRDefault="00FD7595" w:rsidP="00FD7595">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30CA00EE" w14:textId="77777777" w:rsidR="00FD7595" w:rsidRDefault="00FD7595">
                                  <w:pPr>
                                    <w:spacing w:line="276" w:lineRule="auto"/>
                                    <w:ind w:left="209" w:firstLine="0"/>
                                    <w:contextualSpacing/>
                                    <w:jc w:val="left"/>
                                    <w:rPr>
                                      <w:rFonts w:ascii="Aptos" w:eastAsia="Aptos" w:hAnsi="Aptos"/>
                                      <w:b/>
                                      <w:bCs/>
                                      <w:sz w:val="18"/>
                                      <w:szCs w:val="18"/>
                                      <w:lang w:eastAsia="en-US"/>
                                    </w:rPr>
                                  </w:pPr>
                                </w:p>
                                <w:p w14:paraId="50928AE5" w14:textId="77777777" w:rsidR="00FD7595" w:rsidRDefault="00FD7595">
                                  <w:pPr>
                                    <w:spacing w:line="276" w:lineRule="auto"/>
                                    <w:ind w:left="209" w:firstLine="0"/>
                                    <w:contextualSpacing/>
                                    <w:jc w:val="center"/>
                                    <w:rPr>
                                      <w:rFonts w:ascii="Aptos" w:eastAsia="Aptos" w:hAnsi="Aptos"/>
                                      <w:b/>
                                      <w:bCs/>
                                      <w:sz w:val="18"/>
                                      <w:szCs w:val="18"/>
                                      <w:lang w:eastAsia="en-US"/>
                                    </w:rPr>
                                  </w:pPr>
                                </w:p>
                                <w:p w14:paraId="20E74444" w14:textId="77777777" w:rsidR="00FD7595" w:rsidRDefault="00FD7595">
                                  <w:pPr>
                                    <w:spacing w:line="276" w:lineRule="auto"/>
                                    <w:ind w:left="209" w:firstLine="0"/>
                                    <w:contextualSpacing/>
                                    <w:jc w:val="center"/>
                                    <w:rPr>
                                      <w:rFonts w:ascii="Aptos" w:eastAsia="Aptos" w:hAnsi="Aptos"/>
                                      <w:b/>
                                      <w:bCs/>
                                      <w:sz w:val="18"/>
                                      <w:szCs w:val="18"/>
                                      <w:lang w:eastAsia="en-US"/>
                                    </w:rPr>
                                  </w:pPr>
                                  <w:hyperlink r:id="rId12"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6332ACB5" w14:textId="77777777" w:rsidR="00FD7595" w:rsidRDefault="00FD7595">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2A188AF3" w14:textId="77777777" w:rsidR="00FD7595" w:rsidRDefault="00FD7595">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0A975509" w14:textId="77777777" w:rsidR="00FD7595" w:rsidRDefault="00FD7595" w:rsidP="00FD7595">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6AA5FC0E" w14:textId="77777777" w:rsidR="00FD7595" w:rsidRDefault="00FD7595" w:rsidP="00FD7595">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7CC3915B" w14:textId="77777777" w:rsidR="00FD7595" w:rsidRDefault="00FD7595" w:rsidP="00FD7595">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75AC3BF4" w14:textId="77777777" w:rsidR="00FD7595" w:rsidRDefault="00FD7595" w:rsidP="00FD7595">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6B84EF0F" w14:textId="77777777" w:rsidR="00FD7595" w:rsidRDefault="00FD7595">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5D3F02F" w14:textId="77777777" w:rsidR="00FD7595" w:rsidRDefault="00FD7595">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0EB21DE8" w14:textId="77777777" w:rsidR="00FD7595" w:rsidRDefault="00FD7595">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36AF5D7B" w14:textId="77777777" w:rsidR="00FD7595" w:rsidRDefault="00FD7595" w:rsidP="00FD7595"/>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C9418E" id="_x0000_t202" coordsize="21600,21600" o:spt="202" path="m,l,21600r21600,l21600,xe">
                <v:stroke joinstyle="miter"/>
                <v:path gradientshapeok="t" o:connecttype="rect"/>
              </v:shapetype>
              <v:shape id="Pole tekstowe 2" o:spid="_x0000_s1026" type="#_x0000_t202" style="position:absolute;left:0;text-align:left;margin-left:-22.75pt;margin-top:31.6pt;width:504.6pt;height:15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" fillcolor="white [3201]" stroked="f" strokeweight=".5pt">
                <v:textbo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FD7595" w14:paraId="62321729"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6AA70D15" w14:textId="7C558168" w:rsidR="00FD7595" w:rsidRDefault="00FD7595">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07E4ABFF" wp14:editId="7E862C11">
                                  <wp:extent cx="998220" cy="937260"/>
                                  <wp:effectExtent l="0" t="0" r="0" b="0"/>
                                  <wp:docPr id="197680338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44429113"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998220" cy="93726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25ADC85B" w14:textId="77777777" w:rsidR="00FD7595" w:rsidRDefault="00FD7595">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16EC09DA" w14:textId="77777777" w:rsidR="00FD7595" w:rsidRDefault="00FD7595" w:rsidP="00FD7595">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7842ABE9" w14:textId="77777777" w:rsidR="00FD7595" w:rsidRDefault="00FD7595" w:rsidP="00FD7595">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30CA00EE" w14:textId="77777777" w:rsidR="00FD7595" w:rsidRDefault="00FD7595">
                            <w:pPr>
                              <w:spacing w:line="276" w:lineRule="auto"/>
                              <w:ind w:left="209" w:firstLine="0"/>
                              <w:contextualSpacing/>
                              <w:jc w:val="left"/>
                              <w:rPr>
                                <w:rFonts w:ascii="Aptos" w:eastAsia="Aptos" w:hAnsi="Aptos"/>
                                <w:b/>
                                <w:bCs/>
                                <w:sz w:val="18"/>
                                <w:szCs w:val="18"/>
                                <w:lang w:eastAsia="en-US"/>
                              </w:rPr>
                            </w:pPr>
                          </w:p>
                          <w:p w14:paraId="50928AE5" w14:textId="77777777" w:rsidR="00FD7595" w:rsidRDefault="00FD7595">
                            <w:pPr>
                              <w:spacing w:line="276" w:lineRule="auto"/>
                              <w:ind w:left="209" w:firstLine="0"/>
                              <w:contextualSpacing/>
                              <w:jc w:val="center"/>
                              <w:rPr>
                                <w:rFonts w:ascii="Aptos" w:eastAsia="Aptos" w:hAnsi="Aptos"/>
                                <w:b/>
                                <w:bCs/>
                                <w:sz w:val="18"/>
                                <w:szCs w:val="18"/>
                                <w:lang w:eastAsia="en-US"/>
                              </w:rPr>
                            </w:pPr>
                          </w:p>
                          <w:p w14:paraId="20E74444" w14:textId="77777777" w:rsidR="00FD7595" w:rsidRDefault="00FD7595">
                            <w:pPr>
                              <w:spacing w:line="276" w:lineRule="auto"/>
                              <w:ind w:left="209" w:firstLine="0"/>
                              <w:contextualSpacing/>
                              <w:jc w:val="center"/>
                              <w:rPr>
                                <w:rFonts w:ascii="Aptos" w:eastAsia="Aptos" w:hAnsi="Aptos"/>
                                <w:b/>
                                <w:bCs/>
                                <w:sz w:val="18"/>
                                <w:szCs w:val="18"/>
                                <w:lang w:eastAsia="en-US"/>
                              </w:rPr>
                            </w:pPr>
                            <w:hyperlink r:id="rId13"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6332ACB5" w14:textId="77777777" w:rsidR="00FD7595" w:rsidRDefault="00FD7595">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2A188AF3" w14:textId="77777777" w:rsidR="00FD7595" w:rsidRDefault="00FD7595">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0A975509" w14:textId="77777777" w:rsidR="00FD7595" w:rsidRDefault="00FD7595" w:rsidP="00FD7595">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6AA5FC0E" w14:textId="77777777" w:rsidR="00FD7595" w:rsidRDefault="00FD7595" w:rsidP="00FD7595">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7CC3915B" w14:textId="77777777" w:rsidR="00FD7595" w:rsidRDefault="00FD7595" w:rsidP="00FD7595">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75AC3BF4" w14:textId="77777777" w:rsidR="00FD7595" w:rsidRDefault="00FD7595" w:rsidP="00FD7595">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6B84EF0F" w14:textId="77777777" w:rsidR="00FD7595" w:rsidRDefault="00FD7595">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5D3F02F" w14:textId="77777777" w:rsidR="00FD7595" w:rsidRDefault="00FD7595">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0EB21DE8" w14:textId="77777777" w:rsidR="00FD7595" w:rsidRDefault="00FD7595">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36AF5D7B" w14:textId="77777777" w:rsidR="00FD7595" w:rsidRDefault="00FD7595" w:rsidP="00FD7595"/>
                  </w:txbxContent>
                </v:textbox>
              </v:shape>
            </w:pict>
          </mc:Fallback>
        </mc:AlternateContent>
      </w:r>
    </w:p>
    <w:sectPr w:rsidR="006A2EC2" w:rsidRPr="00267B4D" w:rsidSect="00135258">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6B724" w14:textId="77777777" w:rsidR="00135258" w:rsidRDefault="00135258" w:rsidP="00A820C9">
      <w:r>
        <w:separator/>
      </w:r>
    </w:p>
  </w:endnote>
  <w:endnote w:type="continuationSeparator" w:id="0">
    <w:p w14:paraId="34469E60" w14:textId="77777777" w:rsidR="00135258" w:rsidRDefault="00135258"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altName w:val="MS 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3D2D2" w14:textId="77777777" w:rsidR="00135258" w:rsidRDefault="00135258" w:rsidP="00A820C9">
      <w:r>
        <w:separator/>
      </w:r>
    </w:p>
  </w:footnote>
  <w:footnote w:type="continuationSeparator" w:id="0">
    <w:p w14:paraId="19532B44" w14:textId="77777777" w:rsidR="00135258" w:rsidRDefault="00135258"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91A6" w14:textId="60F0F29C" w:rsidR="008A462C" w:rsidRPr="008A462C" w:rsidRDefault="00B2361E"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bCs/>
        <w:i/>
        <w:iCs/>
        <w:sz w:val="16"/>
        <w:szCs w:val="16"/>
      </w:rPr>
    </w:pPr>
    <w:r w:rsidRPr="00B2361E">
      <w:rPr>
        <w:rFonts w:ascii="Times New Roman" w:eastAsia="MS PMincho" w:hAnsi="Times New Roman"/>
        <w:sz w:val="16"/>
        <w:szCs w:val="16"/>
      </w:rPr>
      <w:t xml:space="preserve">Lekcje Biblijne </w:t>
    </w:r>
    <w:r w:rsidR="00FA7C51">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A75F4C">
      <w:rPr>
        <w:rFonts w:ascii="Times New Roman" w:hAnsi="Times New Roman"/>
        <w:sz w:val="16"/>
        <w:szCs w:val="16"/>
      </w:rPr>
      <w:t>Mark Finley</w:t>
    </w:r>
    <w:r w:rsidR="00203AFA" w:rsidRPr="00203AFA">
      <w:rPr>
        <w:rFonts w:ascii="Times New Roman" w:hAnsi="Times New Roman"/>
        <w:sz w:val="16"/>
        <w:szCs w:val="16"/>
      </w:rPr>
      <w:t xml:space="preserve">, </w:t>
    </w:r>
    <w:r w:rsidR="00A75F4C">
      <w:rPr>
        <w:rFonts w:ascii="Times New Roman" w:hAnsi="Times New Roman"/>
        <w:i/>
        <w:iCs/>
        <w:sz w:val="16"/>
        <w:szCs w:val="16"/>
      </w:rPr>
      <w:t>Wielki bój</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DE105B">
      <w:rPr>
        <w:rFonts w:ascii="Times New Roman" w:hAnsi="Times New Roman"/>
        <w:sz w:val="16"/>
        <w:szCs w:val="16"/>
      </w:rPr>
      <w:t xml:space="preserve"> 6</w:t>
    </w:r>
    <w:r w:rsidR="00D07327">
      <w:rPr>
        <w:rFonts w:ascii="Times New Roman" w:hAnsi="Times New Roman"/>
        <w:sz w:val="16"/>
        <w:szCs w:val="16"/>
      </w:rPr>
      <w:t xml:space="preserve">- </w:t>
    </w:r>
    <w:r w:rsidR="00DE105B">
      <w:rPr>
        <w:rFonts w:ascii="Times New Roman" w:hAnsi="Times New Roman"/>
        <w:bCs/>
        <w:i/>
        <w:iCs/>
        <w:sz w:val="16"/>
        <w:szCs w:val="16"/>
      </w:rPr>
      <w:t>Dwaj świadkowie</w:t>
    </w:r>
  </w:p>
  <w:p w14:paraId="6EFDA48C" w14:textId="1CBA8711" w:rsidR="0059400D" w:rsidRPr="008A462C" w:rsidRDefault="0059400D" w:rsidP="00735A04">
    <w:pPr>
      <w:ind w:firstLine="0"/>
      <w:jc w:val="left"/>
      <w:rPr>
        <w:rFonts w:ascii="Times New Roman" w:hAnsi="Times New Roman"/>
        <w:bCs/>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1216817328">
    <w:abstractNumId w:val="2"/>
    <w:lvlOverride w:ilvl="0"/>
    <w:lvlOverride w:ilvl="1"/>
    <w:lvlOverride w:ilvl="2"/>
    <w:lvlOverride w:ilvl="3"/>
    <w:lvlOverride w:ilvl="4"/>
    <w:lvlOverride w:ilvl="5"/>
    <w:lvlOverride w:ilvl="6"/>
    <w:lvlOverride w:ilvl="7"/>
    <w:lvlOverride w:ilvl="8"/>
  </w:num>
  <w:num w:numId="5" w16cid:durableId="191104089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C07"/>
    <w:rsid w:val="00093EE9"/>
    <w:rsid w:val="000943C0"/>
    <w:rsid w:val="00095BF6"/>
    <w:rsid w:val="00097610"/>
    <w:rsid w:val="000A1890"/>
    <w:rsid w:val="000A4DFA"/>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44DC"/>
    <w:rsid w:val="00135258"/>
    <w:rsid w:val="00135593"/>
    <w:rsid w:val="001407C0"/>
    <w:rsid w:val="00140C94"/>
    <w:rsid w:val="001512CF"/>
    <w:rsid w:val="0015413F"/>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488C"/>
    <w:rsid w:val="001A64A1"/>
    <w:rsid w:val="001A762A"/>
    <w:rsid w:val="001B1791"/>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D47"/>
    <w:rsid w:val="002148B5"/>
    <w:rsid w:val="002215B7"/>
    <w:rsid w:val="00223349"/>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67B4D"/>
    <w:rsid w:val="0027003D"/>
    <w:rsid w:val="00283CFF"/>
    <w:rsid w:val="002840D6"/>
    <w:rsid w:val="0028485A"/>
    <w:rsid w:val="00297F4B"/>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2B3C"/>
    <w:rsid w:val="002D3CD9"/>
    <w:rsid w:val="002D3EDC"/>
    <w:rsid w:val="002E6154"/>
    <w:rsid w:val="002F38CF"/>
    <w:rsid w:val="002F6A89"/>
    <w:rsid w:val="002F7A06"/>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416"/>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400415"/>
    <w:rsid w:val="00404868"/>
    <w:rsid w:val="00411F03"/>
    <w:rsid w:val="00416C57"/>
    <w:rsid w:val="004171A4"/>
    <w:rsid w:val="00422C48"/>
    <w:rsid w:val="00425C5E"/>
    <w:rsid w:val="00426967"/>
    <w:rsid w:val="00430F8E"/>
    <w:rsid w:val="00432700"/>
    <w:rsid w:val="004329D1"/>
    <w:rsid w:val="00432B5F"/>
    <w:rsid w:val="0043366A"/>
    <w:rsid w:val="00435443"/>
    <w:rsid w:val="004356BE"/>
    <w:rsid w:val="0044128C"/>
    <w:rsid w:val="0044786C"/>
    <w:rsid w:val="004518E4"/>
    <w:rsid w:val="00455840"/>
    <w:rsid w:val="0045585B"/>
    <w:rsid w:val="00457757"/>
    <w:rsid w:val="004622A1"/>
    <w:rsid w:val="00463645"/>
    <w:rsid w:val="00464D68"/>
    <w:rsid w:val="00471339"/>
    <w:rsid w:val="00473EDB"/>
    <w:rsid w:val="004752A7"/>
    <w:rsid w:val="004765D6"/>
    <w:rsid w:val="00477D59"/>
    <w:rsid w:val="004812BD"/>
    <w:rsid w:val="00482556"/>
    <w:rsid w:val="004848E7"/>
    <w:rsid w:val="004940F1"/>
    <w:rsid w:val="00495FF0"/>
    <w:rsid w:val="00497AC0"/>
    <w:rsid w:val="004A07EB"/>
    <w:rsid w:val="004A1334"/>
    <w:rsid w:val="004A1F71"/>
    <w:rsid w:val="004A3508"/>
    <w:rsid w:val="004A623A"/>
    <w:rsid w:val="004A68C6"/>
    <w:rsid w:val="004B2D64"/>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17778"/>
    <w:rsid w:val="005205E4"/>
    <w:rsid w:val="00521F52"/>
    <w:rsid w:val="00524B4C"/>
    <w:rsid w:val="00525008"/>
    <w:rsid w:val="00527468"/>
    <w:rsid w:val="00535F72"/>
    <w:rsid w:val="00542986"/>
    <w:rsid w:val="00544549"/>
    <w:rsid w:val="005449EA"/>
    <w:rsid w:val="00545A28"/>
    <w:rsid w:val="005462AA"/>
    <w:rsid w:val="00547F5F"/>
    <w:rsid w:val="00551C03"/>
    <w:rsid w:val="0055278B"/>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6549"/>
    <w:rsid w:val="00637276"/>
    <w:rsid w:val="00640B98"/>
    <w:rsid w:val="00642983"/>
    <w:rsid w:val="00645D50"/>
    <w:rsid w:val="00646C71"/>
    <w:rsid w:val="006538E0"/>
    <w:rsid w:val="006579C5"/>
    <w:rsid w:val="0066123D"/>
    <w:rsid w:val="00661BB8"/>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C45AC"/>
    <w:rsid w:val="006D05BE"/>
    <w:rsid w:val="006D2FC5"/>
    <w:rsid w:val="006D4884"/>
    <w:rsid w:val="006E44CF"/>
    <w:rsid w:val="006E4779"/>
    <w:rsid w:val="006E50A8"/>
    <w:rsid w:val="006E5C3B"/>
    <w:rsid w:val="006E7492"/>
    <w:rsid w:val="006E7DE4"/>
    <w:rsid w:val="006F1566"/>
    <w:rsid w:val="006F2FFB"/>
    <w:rsid w:val="006F3FE7"/>
    <w:rsid w:val="006F6571"/>
    <w:rsid w:val="0071208E"/>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334A"/>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2640"/>
    <w:rsid w:val="0087312A"/>
    <w:rsid w:val="00881CF1"/>
    <w:rsid w:val="00883CE6"/>
    <w:rsid w:val="008863B7"/>
    <w:rsid w:val="008944D9"/>
    <w:rsid w:val="00897134"/>
    <w:rsid w:val="008A462C"/>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1A9E"/>
    <w:rsid w:val="008E61B3"/>
    <w:rsid w:val="008E63CB"/>
    <w:rsid w:val="008F086D"/>
    <w:rsid w:val="009006D3"/>
    <w:rsid w:val="009039D9"/>
    <w:rsid w:val="00903AB3"/>
    <w:rsid w:val="00904615"/>
    <w:rsid w:val="00910645"/>
    <w:rsid w:val="009124E5"/>
    <w:rsid w:val="0091425C"/>
    <w:rsid w:val="0091548D"/>
    <w:rsid w:val="00916609"/>
    <w:rsid w:val="00916DCA"/>
    <w:rsid w:val="00924C53"/>
    <w:rsid w:val="00926046"/>
    <w:rsid w:val="00933C8E"/>
    <w:rsid w:val="00934141"/>
    <w:rsid w:val="00935E1F"/>
    <w:rsid w:val="009367F5"/>
    <w:rsid w:val="009378A8"/>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1BDC"/>
    <w:rsid w:val="009922DE"/>
    <w:rsid w:val="0099242B"/>
    <w:rsid w:val="00992622"/>
    <w:rsid w:val="00993777"/>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4187"/>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1A06"/>
    <w:rsid w:val="00B2361E"/>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0A60"/>
    <w:rsid w:val="00B83DE4"/>
    <w:rsid w:val="00B85649"/>
    <w:rsid w:val="00B90038"/>
    <w:rsid w:val="00B9066D"/>
    <w:rsid w:val="00B90CB9"/>
    <w:rsid w:val="00B917A2"/>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1B4B"/>
    <w:rsid w:val="00C742FE"/>
    <w:rsid w:val="00C76D9B"/>
    <w:rsid w:val="00C825E3"/>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D0148"/>
    <w:rsid w:val="00CD0686"/>
    <w:rsid w:val="00CD39F3"/>
    <w:rsid w:val="00CD55B6"/>
    <w:rsid w:val="00CD6B02"/>
    <w:rsid w:val="00CE0BE5"/>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B1B"/>
    <w:rsid w:val="00D43042"/>
    <w:rsid w:val="00D43CA9"/>
    <w:rsid w:val="00D447CB"/>
    <w:rsid w:val="00D459E9"/>
    <w:rsid w:val="00D45D54"/>
    <w:rsid w:val="00D460C5"/>
    <w:rsid w:val="00D5040D"/>
    <w:rsid w:val="00D51420"/>
    <w:rsid w:val="00D5746C"/>
    <w:rsid w:val="00D57745"/>
    <w:rsid w:val="00D645D1"/>
    <w:rsid w:val="00D649BF"/>
    <w:rsid w:val="00D67231"/>
    <w:rsid w:val="00D67EF6"/>
    <w:rsid w:val="00D72103"/>
    <w:rsid w:val="00D7222D"/>
    <w:rsid w:val="00D746F4"/>
    <w:rsid w:val="00D75431"/>
    <w:rsid w:val="00D7590D"/>
    <w:rsid w:val="00D806C5"/>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105B"/>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38D0"/>
    <w:rsid w:val="00EA72BC"/>
    <w:rsid w:val="00EA7962"/>
    <w:rsid w:val="00EB1D9E"/>
    <w:rsid w:val="00EB1FDE"/>
    <w:rsid w:val="00EB2135"/>
    <w:rsid w:val="00EB34DD"/>
    <w:rsid w:val="00EC1ADB"/>
    <w:rsid w:val="00EC2C82"/>
    <w:rsid w:val="00ED244C"/>
    <w:rsid w:val="00EE38FA"/>
    <w:rsid w:val="00EE699C"/>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A7C51"/>
    <w:rsid w:val="00FB0002"/>
    <w:rsid w:val="00FB046C"/>
    <w:rsid w:val="00FB2430"/>
    <w:rsid w:val="00FB4892"/>
    <w:rsid w:val="00FB5DE0"/>
    <w:rsid w:val="00FB5F4B"/>
    <w:rsid w:val="00FB76D0"/>
    <w:rsid w:val="00FC280C"/>
    <w:rsid w:val="00FC35F3"/>
    <w:rsid w:val="00FC503E"/>
    <w:rsid w:val="00FC6F71"/>
    <w:rsid w:val="00FD7595"/>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styleId="Hipercze">
    <w:name w:val="Hyperlink"/>
    <w:basedOn w:val="Domylnaczcionkaakapitu"/>
    <w:uiPriority w:val="99"/>
    <w:semiHidden/>
    <w:unhideWhenUsed/>
    <w:rsid w:val="00FD7595"/>
    <w:rPr>
      <w:color w:val="0563C1" w:themeColor="hyperlink"/>
      <w:u w:val="single"/>
    </w:rPr>
  </w:style>
  <w:style w:type="table" w:styleId="Tabela-Siatka">
    <w:name w:val="Table Grid"/>
    <w:basedOn w:val="Standardowy"/>
    <w:uiPriority w:val="39"/>
    <w:rsid w:val="00FD7595"/>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1773</Words>
  <Characters>10638</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4</cp:revision>
  <cp:lastPrinted>2023-06-19T12:47:00Z</cp:lastPrinted>
  <dcterms:created xsi:type="dcterms:W3CDTF">2024-03-19T20:25:00Z</dcterms:created>
  <dcterms:modified xsi:type="dcterms:W3CDTF">2024-03-28T18:27:00Z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