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0C5" w:rsidRDefault="00A820C9" w:rsidP="00A820C9">
      <w:pPr>
        <w:ind w:firstLine="0"/>
        <w:rPr>
          <w:rFonts w:ascii="Times New Roman" w:hAnsi="Times New Roman"/>
          <w:sz w:val="20"/>
        </w:rPr>
      </w:pPr>
      <w:r w:rsidRPr="000E3D8C">
        <w:rPr>
          <w:rFonts w:ascii="Times New Roman" w:hAnsi="Times New Roman"/>
          <w:sz w:val="20"/>
        </w:rPr>
        <w:t xml:space="preserve"> Lekcja </w:t>
      </w:r>
      <w:r w:rsidR="00C045AF">
        <w:rPr>
          <w:rFonts w:ascii="Times New Roman" w:hAnsi="Times New Roman"/>
          <w:sz w:val="20"/>
        </w:rPr>
        <w:t>1</w:t>
      </w:r>
      <w:r w:rsidR="00D460C5">
        <w:rPr>
          <w:rFonts w:ascii="Times New Roman" w:hAnsi="Times New Roman"/>
          <w:sz w:val="20"/>
        </w:rPr>
        <w:t>2</w:t>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Pr="000E3D8C">
        <w:rPr>
          <w:rFonts w:ascii="Times New Roman" w:hAnsi="Times New Roman"/>
          <w:sz w:val="20"/>
        </w:rPr>
        <w:tab/>
      </w:r>
      <w:r w:rsidR="002F7A06" w:rsidRPr="000E3D8C">
        <w:rPr>
          <w:rFonts w:ascii="Times New Roman" w:hAnsi="Times New Roman"/>
          <w:sz w:val="20"/>
        </w:rPr>
        <w:tab/>
      </w:r>
      <w:r w:rsidR="00A33F0F">
        <w:rPr>
          <w:rFonts w:ascii="Times New Roman" w:hAnsi="Times New Roman"/>
          <w:sz w:val="20"/>
        </w:rPr>
        <w:t>19</w:t>
      </w:r>
      <w:bookmarkStart w:id="0" w:name="_GoBack"/>
      <w:bookmarkEnd w:id="0"/>
      <w:r w:rsidR="00C045AF">
        <w:rPr>
          <w:rFonts w:ascii="Times New Roman" w:hAnsi="Times New Roman"/>
          <w:sz w:val="20"/>
        </w:rPr>
        <w:t xml:space="preserve"> grudnia </w:t>
      </w:r>
    </w:p>
    <w:p w:rsidR="00A820C9" w:rsidRDefault="00F47047" w:rsidP="00A820C9">
      <w:pPr>
        <w:ind w:firstLine="0"/>
        <w:rPr>
          <w:rFonts w:ascii="Times New Roman" w:hAnsi="Times New Roman"/>
          <w:sz w:val="20"/>
        </w:rPr>
      </w:pPr>
      <w:r>
        <w:rPr>
          <w:rFonts w:ascii="Times New Roman" w:hAnsi="Times New Roman"/>
          <w:sz w:val="20"/>
        </w:rPr>
        <w:t xml:space="preserve"> </w:t>
      </w:r>
    </w:p>
    <w:p w:rsidR="00256C0B" w:rsidRPr="00256C0B" w:rsidRDefault="00D460C5" w:rsidP="00AD4D5B">
      <w:pPr>
        <w:ind w:firstLine="0"/>
        <w:jc w:val="center"/>
        <w:rPr>
          <w:rFonts w:ascii="Times New Roman" w:hAnsi="Times New Roman"/>
          <w:b/>
          <w:sz w:val="28"/>
          <w:szCs w:val="28"/>
          <w:lang w:val="en-US"/>
        </w:rPr>
      </w:pPr>
      <w:r>
        <w:rPr>
          <w:rFonts w:ascii="Times New Roman" w:hAnsi="Times New Roman"/>
          <w:b/>
          <w:sz w:val="28"/>
          <w:szCs w:val="28"/>
          <w:lang w:val="en-US"/>
        </w:rPr>
        <w:t xml:space="preserve">Sobota. Doświadczenie charakteru Boga i życie zgodnie z nim </w:t>
      </w:r>
    </w:p>
    <w:p w:rsidR="00A22AA7" w:rsidRDefault="00A22AA7" w:rsidP="00404868">
      <w:pPr>
        <w:rPr>
          <w:rFonts w:ascii="Times New Roman" w:hAnsi="Times New Roman"/>
          <w:b/>
          <w:sz w:val="20"/>
          <w:lang w:val="en-US"/>
        </w:rPr>
      </w:pPr>
    </w:p>
    <w:p w:rsidR="00D460C5" w:rsidRPr="00200C0C" w:rsidRDefault="00D460C5" w:rsidP="00D460C5">
      <w:pPr>
        <w:rPr>
          <w:rFonts w:ascii="Times New Roman" w:hAnsi="Times New Roman"/>
          <w:sz w:val="20"/>
        </w:rPr>
      </w:pPr>
      <w:r w:rsidRPr="00200C0C">
        <w:rPr>
          <w:rFonts w:ascii="Times New Roman" w:hAnsi="Times New Roman"/>
          <w:sz w:val="20"/>
        </w:rPr>
        <w:t>Szabat jest czymś znacznie więcej niż 24-godzinną przerwą w pracy. Jego teologiczne znaczenie jest głębokie i wielorakie, gdyż jest darem w postaci czasu danym nam przez samego Stwórcę. Jakkolwiek dużo wiemy o szabacie, „odpoczynek” sugeruje, że jeszcze dużo mamy do odkrycia.</w:t>
      </w:r>
    </w:p>
    <w:p w:rsidR="00D460C5" w:rsidRPr="00200C0C" w:rsidRDefault="00D460C5" w:rsidP="00D460C5">
      <w:pPr>
        <w:rPr>
          <w:rFonts w:ascii="Times New Roman" w:hAnsi="Times New Roman"/>
          <w:sz w:val="20"/>
        </w:rPr>
      </w:pPr>
      <w:r w:rsidRPr="00200C0C">
        <w:rPr>
          <w:rFonts w:ascii="Times New Roman" w:hAnsi="Times New Roman"/>
          <w:sz w:val="20"/>
        </w:rPr>
        <w:t>Ale co szabat ma wspólnego z edukacją? Pomyśl o czasie, kiedy najwięcej uczyłeś się o Bogu. Studiowanie, kazania, wspólnota, specjalni mówcy, pieśni, seminaria, spotkania modlitewne, zjazdy namiotowe, wspólne posiłki - jak wiele z tych wydarzeń było związanych z godzinami szabatu? Jeśli się nad tym zastanowimy, dojdziemy do wniosku, że dla wielu z nas szabat był „uniwersytetem w czasie”, w którym byliśmy wprowadzani, uczeni i utwierdzani jako stali uczniowie na drodze Bożej i w Bożym królestwie.</w:t>
      </w:r>
    </w:p>
    <w:p w:rsidR="00D460C5" w:rsidRPr="00200C0C" w:rsidRDefault="00D460C5" w:rsidP="00D460C5">
      <w:pPr>
        <w:rPr>
          <w:rFonts w:ascii="Times New Roman" w:hAnsi="Times New Roman"/>
          <w:sz w:val="20"/>
        </w:rPr>
      </w:pPr>
      <w:r w:rsidRPr="00200C0C">
        <w:rPr>
          <w:rFonts w:ascii="Times New Roman" w:hAnsi="Times New Roman"/>
          <w:sz w:val="20"/>
        </w:rPr>
        <w:t>Szabat jest także czasem przypominania i uczenia się na nowo tego, o czym zapomnieliśmy. Próba szabatu i manny była tak naprawdę próbą zaufania i posłuszeństwa, przypominającą Izraelitom Boga po ich wyjściu z</w:t>
      </w:r>
      <w:r>
        <w:rPr>
          <w:rFonts w:ascii="Times New Roman" w:hAnsi="Times New Roman"/>
          <w:sz w:val="20"/>
        </w:rPr>
        <w:t> </w:t>
      </w:r>
      <w:r w:rsidRPr="00200C0C">
        <w:rPr>
          <w:rFonts w:ascii="Times New Roman" w:hAnsi="Times New Roman"/>
          <w:sz w:val="20"/>
        </w:rPr>
        <w:t xml:space="preserve"> Egiptu. Jezus posłużył się szabatem, by na nowo przedstawić pojęcie świętości jako zbieżne z uwalnianiem ludzi od cierpienia, a nie podkreślaniem tradycji leżącej u podstaw sobotnich ograniczeń </w:t>
      </w:r>
      <w:r w:rsidRPr="00200C0C">
        <w:rPr>
          <w:rFonts w:ascii="Times New Roman" w:hAnsi="Times New Roman"/>
          <w:iCs/>
          <w:sz w:val="20"/>
          <w:lang w:val="en-US"/>
        </w:rPr>
        <w:t>(</w:t>
      </w:r>
      <w:r w:rsidRPr="00200C0C">
        <w:rPr>
          <w:rFonts w:ascii="Times New Roman" w:hAnsi="Times New Roman"/>
          <w:sz w:val="20"/>
          <w:lang w:val="en-US"/>
        </w:rPr>
        <w:t>Mt </w:t>
      </w:r>
      <w:r w:rsidRPr="00200C0C">
        <w:rPr>
          <w:rFonts w:ascii="Times New Roman" w:hAnsi="Times New Roman"/>
          <w:iCs/>
          <w:sz w:val="20"/>
          <w:lang w:val="en-US"/>
        </w:rPr>
        <w:t>12,11-12)</w:t>
      </w:r>
      <w:r w:rsidRPr="00200C0C">
        <w:rPr>
          <w:rFonts w:ascii="Times New Roman" w:hAnsi="Times New Roman"/>
          <w:sz w:val="20"/>
        </w:rPr>
        <w:t>. Jego pozornie banalne ale genialne stwierdzenie, iż „</w:t>
      </w:r>
      <w:r w:rsidRPr="00200C0C">
        <w:rPr>
          <w:rFonts w:ascii="Times New Roman" w:hAnsi="Times New Roman"/>
          <w:color w:val="000000"/>
          <w:sz w:val="20"/>
        </w:rPr>
        <w:t>szabat został ustanowiony dla człowieka, a nie człowiek dla szabatu</w:t>
      </w:r>
      <w:r w:rsidRPr="00200C0C">
        <w:rPr>
          <w:rFonts w:ascii="Times New Roman" w:hAnsi="Times New Roman"/>
          <w:sz w:val="20"/>
        </w:rPr>
        <w:t xml:space="preserve">” </w:t>
      </w:r>
      <w:r w:rsidRPr="00200C0C">
        <w:rPr>
          <w:rFonts w:ascii="Times New Roman" w:hAnsi="Times New Roman"/>
          <w:iCs/>
          <w:sz w:val="20"/>
          <w:lang w:val="en-US"/>
        </w:rPr>
        <w:t>(Mk 2,27 BT)</w:t>
      </w:r>
      <w:r w:rsidRPr="00200C0C">
        <w:rPr>
          <w:rFonts w:ascii="Times New Roman" w:hAnsi="Times New Roman"/>
          <w:sz w:val="20"/>
        </w:rPr>
        <w:t xml:space="preserve">, jest pomnikiem reedukacji i korygowania. Jezus jest „panem szabatu” </w:t>
      </w:r>
      <w:r w:rsidRPr="00200C0C">
        <w:rPr>
          <w:rFonts w:ascii="Times New Roman" w:hAnsi="Times New Roman"/>
          <w:iCs/>
          <w:sz w:val="20"/>
          <w:lang w:val="en-US"/>
        </w:rPr>
        <w:t>(Łk 6,5 BT)</w:t>
      </w:r>
      <w:r w:rsidRPr="00200C0C">
        <w:rPr>
          <w:rFonts w:ascii="Times New Roman" w:hAnsi="Times New Roman"/>
          <w:sz w:val="20"/>
        </w:rPr>
        <w:t>, a więc studiując szabat możemy się uczyć także o Nim.</w:t>
      </w:r>
    </w:p>
    <w:p w:rsidR="00D460C5" w:rsidRPr="00200C0C" w:rsidRDefault="00D460C5" w:rsidP="00D460C5">
      <w:pPr>
        <w:rPr>
          <w:rFonts w:ascii="Times New Roman" w:hAnsi="Times New Roman"/>
          <w:sz w:val="20"/>
        </w:rPr>
      </w:pPr>
    </w:p>
    <w:p w:rsidR="00D460C5" w:rsidRDefault="00D460C5" w:rsidP="00D460C5">
      <w:pPr>
        <w:rPr>
          <w:rFonts w:ascii="Times New Roman" w:hAnsi="Times New Roman"/>
          <w:b/>
          <w:sz w:val="20"/>
          <w:lang w:val="en-US"/>
        </w:rPr>
      </w:pPr>
      <w:r w:rsidRPr="00200C0C">
        <w:rPr>
          <w:rFonts w:ascii="Times New Roman" w:hAnsi="Times New Roman"/>
          <w:b/>
          <w:sz w:val="20"/>
          <w:lang w:val="en-US"/>
        </w:rPr>
        <w:t>Część II: Komentarz</w:t>
      </w:r>
    </w:p>
    <w:p w:rsidR="00D460C5" w:rsidRPr="00200C0C" w:rsidRDefault="00D460C5" w:rsidP="00D460C5">
      <w:pPr>
        <w:rPr>
          <w:rFonts w:ascii="Times New Roman" w:hAnsi="Times New Roman"/>
          <w:sz w:val="20"/>
          <w:lang w:val="en-US"/>
        </w:rPr>
      </w:pPr>
    </w:p>
    <w:p w:rsidR="00D460C5" w:rsidRPr="00200C0C" w:rsidRDefault="00D460C5" w:rsidP="00D460C5">
      <w:pPr>
        <w:rPr>
          <w:rFonts w:ascii="Times New Roman" w:hAnsi="Times New Roman"/>
          <w:i/>
          <w:iCs/>
          <w:sz w:val="20"/>
        </w:rPr>
      </w:pPr>
      <w:r w:rsidRPr="00200C0C">
        <w:rPr>
          <w:rFonts w:ascii="Times New Roman" w:hAnsi="Times New Roman"/>
          <w:i/>
          <w:iCs/>
          <w:sz w:val="20"/>
        </w:rPr>
        <w:t>Świadectwo motywacji</w:t>
      </w:r>
    </w:p>
    <w:p w:rsidR="00D460C5" w:rsidRPr="00200C0C" w:rsidRDefault="00D460C5" w:rsidP="00D460C5">
      <w:pPr>
        <w:rPr>
          <w:rFonts w:ascii="Times New Roman" w:hAnsi="Times New Roman"/>
          <w:sz w:val="20"/>
        </w:rPr>
      </w:pPr>
      <w:r w:rsidRPr="00200C0C">
        <w:rPr>
          <w:rFonts w:ascii="Times New Roman" w:hAnsi="Times New Roman"/>
          <w:sz w:val="20"/>
        </w:rPr>
        <w:t>Zastanów się przez chwilę, jak można edukować czyjeś serce i umysł do posłuszeństwa Bogu, w tym przestrzegania przykazania sobotniego. Z biegiem lat wydaje się zachodzić zmiana na dobre w motywowaniu ludzi do posłuszeństwa prawu Bożemu.</w:t>
      </w:r>
    </w:p>
    <w:p w:rsidR="00D460C5" w:rsidRPr="00200C0C" w:rsidRDefault="00D460C5" w:rsidP="00D460C5">
      <w:pPr>
        <w:rPr>
          <w:rFonts w:ascii="Times New Roman" w:hAnsi="Times New Roman"/>
          <w:sz w:val="20"/>
        </w:rPr>
      </w:pPr>
      <w:r w:rsidRPr="00200C0C">
        <w:rPr>
          <w:rFonts w:ascii="Times New Roman" w:hAnsi="Times New Roman"/>
          <w:sz w:val="20"/>
        </w:rPr>
        <w:t>Możemy podkreślać negatywne skutki nieposłuszeństwa (nędzę, niewolę, kary i śmierć). Możemy także używać pozytywnych motywacji, w których posłuszeństwo jest tak atrakcyjnie przedstawiane, iż ludzie czują, jakby tracili coś cennego, kiedy zaniedbują prawo Boże.</w:t>
      </w:r>
    </w:p>
    <w:p w:rsidR="00D460C5" w:rsidRPr="00200C0C" w:rsidRDefault="00D460C5" w:rsidP="00D460C5">
      <w:pPr>
        <w:rPr>
          <w:rFonts w:ascii="Times New Roman" w:hAnsi="Times New Roman"/>
          <w:sz w:val="20"/>
        </w:rPr>
      </w:pPr>
      <w:r w:rsidRPr="00200C0C">
        <w:rPr>
          <w:rFonts w:ascii="Times New Roman" w:hAnsi="Times New Roman"/>
          <w:sz w:val="20"/>
        </w:rPr>
        <w:t xml:space="preserve">Uświadomiłem sobie tę rozbieżność motywacji, rozmawiając z chrześcijanami nie będącymi adwentystami. Kiedy dowiadywali się, że jestem anihilacjonistą (nie wierzącym w wieczne męki piekielne), dwaj różni chrześcijanie, nie znający się nawzajem, dwukrotnie zadali mi to samo pytanie przy dwóch różnych okazjach, jakby czytali ten sam skrypt: „Czy nie tracicie argumentu w ewangelizacji i pozyskiwaniu dusz, nie odwołując się do wiecznego piekła?”. Pamiętam, jak zdumiony byłem tym komentarzem, ale starając się opanować wstrząs, mówiłem im, że czuję, iż charakter Jezusa i Jego plan odkupienia są wystarczająco atrakcyjne, by skutecznie przyciągać ludzi do Boga. Obaj natychmiast przytaknęli, nieco zakłopotani: „No tak, oczywiście, to też działa”. Pomyślałem: </w:t>
      </w:r>
      <w:r w:rsidRPr="00200C0C">
        <w:rPr>
          <w:rFonts w:ascii="Times New Roman" w:hAnsi="Times New Roman"/>
          <w:i/>
          <w:iCs/>
          <w:sz w:val="20"/>
        </w:rPr>
        <w:t>Mam nadzieję</w:t>
      </w:r>
      <w:r w:rsidRPr="00200C0C">
        <w:rPr>
          <w:rFonts w:ascii="Times New Roman" w:hAnsi="Times New Roman"/>
          <w:sz w:val="20"/>
        </w:rPr>
        <w:t>. Ich pełna zwątpienia reakcja na mój anihilacjonizm wyrażała w zasadzie pytanie: „Jak można skłonić ludzi, by trafili do nieba, nie strasząc ich piekłem?”. Zwróć uwagę, że teologia nieuchronnie wpływa na ewangelizację.</w:t>
      </w:r>
    </w:p>
    <w:p w:rsidR="00D460C5" w:rsidRPr="00200C0C" w:rsidRDefault="00D460C5" w:rsidP="00D460C5">
      <w:pPr>
        <w:rPr>
          <w:rFonts w:ascii="Times New Roman" w:hAnsi="Times New Roman"/>
          <w:sz w:val="20"/>
        </w:rPr>
      </w:pPr>
      <w:r w:rsidRPr="00200C0C">
        <w:rPr>
          <w:rFonts w:ascii="Times New Roman" w:hAnsi="Times New Roman"/>
          <w:sz w:val="20"/>
        </w:rPr>
        <w:t xml:space="preserve">Zdałem sobie sprawę, chyba po raz pierwszy, że </w:t>
      </w:r>
      <w:r w:rsidRPr="00200C0C">
        <w:rPr>
          <w:rFonts w:ascii="Times New Roman" w:hAnsi="Times New Roman"/>
          <w:i/>
          <w:iCs/>
          <w:sz w:val="20"/>
        </w:rPr>
        <w:t>adwentystyczna ewangelizacja, a zatem także edukacja, jest w szczególny sposób obliczona na poznanie Boga, aby przedstawiać Go w sposób, który raczej przyciąga ludzi, a nie wywiera na nich psychologiczny nacisk</w:t>
      </w:r>
      <w:r w:rsidRPr="00200C0C">
        <w:rPr>
          <w:rFonts w:ascii="Times New Roman" w:hAnsi="Times New Roman"/>
          <w:sz w:val="20"/>
        </w:rPr>
        <w:t>. I mam tu na myśli rzeczywisty psychologiczny nacisk. Szczerze mówiąc, gdyby wieczna męka w ogniu miała być udziałem potępionych, nie dbałbym w tym momencie o to, kim jest Bóg, ale chciałbym tylko poznać magiczne zaklęcie czy prawowierne doktryny do wierzenia, byleby uniknąć wiecznego płonącego koszmaru! Kto wie, jak wielu ludzi uczęszcza do kościoła pod wpływem takich argumentów? Ale adwentystyczna edukacja nie ma takiego narzędzia w swoim zestawie. Oczywiście, ostateczna śmierć i żal z powodu utraty życia wiecznego to dostatecznie negatywny argument, czasami przywoływany, by skłonić kogoś do poważnego myślenia o przyszłości. Ale na jedne negatywny argument istnieje dziesięć pozytywnych, skłaniających do myślenia o tym, co mamy do zyskania, a nie czego mamy uniknąć. Pomyśl o tym, jak o szczęśliwym małżeństwie - czy dwoje szczęśliwych ludzi jest razem dlatego, że boją się cierpienia i</w:t>
      </w:r>
      <w:r>
        <w:rPr>
          <w:rFonts w:ascii="Times New Roman" w:hAnsi="Times New Roman"/>
          <w:sz w:val="20"/>
        </w:rPr>
        <w:t> </w:t>
      </w:r>
      <w:r w:rsidRPr="00200C0C">
        <w:rPr>
          <w:rFonts w:ascii="Times New Roman" w:hAnsi="Times New Roman"/>
          <w:sz w:val="20"/>
        </w:rPr>
        <w:t xml:space="preserve"> złożonych konsekwencji rozwodu, czy raczej ze względu na to, co ich łączy? Zastosujmy te rozważania do zrozumienia znaczenia szabatu.</w:t>
      </w:r>
    </w:p>
    <w:p w:rsidR="00D460C5" w:rsidRPr="00200C0C" w:rsidRDefault="00D460C5" w:rsidP="00D460C5">
      <w:pPr>
        <w:rPr>
          <w:rFonts w:ascii="Times New Roman" w:hAnsi="Times New Roman"/>
          <w:sz w:val="20"/>
        </w:rPr>
      </w:pPr>
    </w:p>
    <w:p w:rsidR="00D460C5" w:rsidRPr="00200C0C" w:rsidRDefault="00D460C5" w:rsidP="00D460C5">
      <w:pPr>
        <w:rPr>
          <w:rFonts w:ascii="Times New Roman" w:hAnsi="Times New Roman"/>
          <w:sz w:val="20"/>
        </w:rPr>
      </w:pPr>
      <w:r w:rsidRPr="00200C0C">
        <w:rPr>
          <w:rFonts w:ascii="Times New Roman" w:hAnsi="Times New Roman"/>
          <w:i/>
          <w:iCs/>
          <w:sz w:val="20"/>
        </w:rPr>
        <w:t>Pismo Święte</w:t>
      </w:r>
    </w:p>
    <w:p w:rsidR="00D460C5" w:rsidRPr="00200C0C" w:rsidRDefault="00D460C5" w:rsidP="00D460C5">
      <w:pPr>
        <w:rPr>
          <w:rFonts w:ascii="Times New Roman" w:hAnsi="Times New Roman"/>
          <w:sz w:val="20"/>
        </w:rPr>
      </w:pPr>
      <w:r w:rsidRPr="00200C0C">
        <w:rPr>
          <w:rFonts w:ascii="Times New Roman" w:hAnsi="Times New Roman"/>
          <w:sz w:val="20"/>
        </w:rPr>
        <w:t>Cztery ewangelie liczą łącznie 89 rozdziałów. Nietrudno ustalić, w ilu z tych rozdziałów jest mowa o tym, jak Jezus rozumiał szabat. Jest 11 takich przypadków. To znaczy, że 1 na 8 rozdziałów ewangelii porusza kwestię szabatu. Ta znacząca liczba nabiera sensu, kiedy przypomnimy sobie dwa fakty: (1) Jezus dokonał tak wielu rzeczy, że gdyby je spisać, jak sugeruje Jan, „</w:t>
      </w:r>
      <w:r w:rsidRPr="00200C0C">
        <w:rPr>
          <w:rFonts w:ascii="Times New Roman" w:hAnsi="Times New Roman"/>
          <w:color w:val="000000"/>
          <w:sz w:val="20"/>
        </w:rPr>
        <w:t>cały świat nie pomieściłby ksiąg, które by należało napisać</w:t>
      </w:r>
      <w:r w:rsidRPr="00200C0C">
        <w:rPr>
          <w:rFonts w:ascii="Times New Roman" w:hAnsi="Times New Roman"/>
          <w:sz w:val="20"/>
        </w:rPr>
        <w:t xml:space="preserve">” </w:t>
      </w:r>
      <w:r w:rsidRPr="00200C0C">
        <w:rPr>
          <w:rFonts w:ascii="Times New Roman" w:hAnsi="Times New Roman"/>
          <w:sz w:val="20"/>
          <w:lang w:val="en-US"/>
        </w:rPr>
        <w:t>(J </w:t>
      </w:r>
      <w:r w:rsidRPr="00200C0C">
        <w:rPr>
          <w:rFonts w:ascii="Times New Roman" w:hAnsi="Times New Roman"/>
          <w:iCs/>
          <w:sz w:val="20"/>
          <w:lang w:val="en-US"/>
        </w:rPr>
        <w:t>21,25)</w:t>
      </w:r>
      <w:r w:rsidRPr="00200C0C">
        <w:rPr>
          <w:rFonts w:ascii="Times New Roman" w:hAnsi="Times New Roman"/>
          <w:sz w:val="20"/>
        </w:rPr>
        <w:t xml:space="preserve">. (2) Pierwsza z czterech ewangelii została napisana ok. 30 lat po wniebowstąpieniu Jezusa. Wystarczy zestawić fakty. Większość chrześcijan zakłada, że szabat został unieważniony wraz ze śmiercią Jezusa na krzyżu. </w:t>
      </w:r>
      <w:r w:rsidRPr="00200C0C">
        <w:rPr>
          <w:rFonts w:ascii="Times New Roman" w:hAnsi="Times New Roman"/>
          <w:sz w:val="20"/>
        </w:rPr>
        <w:lastRenderedPageBreak/>
        <w:t xml:space="preserve">Ale gdyby tak się stało, czy nie byłoby dziwne, że co ósmy rozdział ewangelii porusza kwestię reformy świętowania szabatu podjętą przez Jezusa? Gdyby szabat był unieważniony od 30 lat, to zważywszy fakt, iż można było uwzględnić w ewangeliach znacznie więcej innego materiału z życia Jezusa, jakie znaczenie dla Kościoła wczesnochrześcijańskiego miałoby akcentowanie kwestii szabatu? Oczywiście nasuwa się wniosek, że szabat nadal był świętowany przez chrześcijan. Choć takie wyjaśnienie wydaje się najbardziej oczywiste, jest najczęściej odrzucane. Jednak z wyjaśnieniem tym wiążą się niezwykle istotne skojarzenia. Oto kilka istotnych powiązań między szabatem, zbawieniem, Jezusem i Jego królestwem (poniższe spostrzeżenia zostały zaczerpnięte z: </w:t>
      </w:r>
      <w:r w:rsidRPr="00200C0C">
        <w:rPr>
          <w:rFonts w:ascii="Times New Roman" w:hAnsi="Times New Roman"/>
          <w:sz w:val="20"/>
          <w:lang w:val="en-US"/>
        </w:rPr>
        <w:t xml:space="preserve">Gnana Robinson, </w:t>
      </w:r>
      <w:r w:rsidRPr="00200C0C">
        <w:rPr>
          <w:rFonts w:ascii="Times New Roman" w:hAnsi="Times New Roman"/>
          <w:i/>
          <w:iCs/>
          <w:sz w:val="20"/>
          <w:lang w:val="en-US"/>
        </w:rPr>
        <w:t>The Origin and Development of the Old Testament Sabbath—A Comprehensive Exegetical Approach</w:t>
      </w:r>
      <w:r w:rsidRPr="00200C0C">
        <w:rPr>
          <w:rFonts w:ascii="Times New Roman" w:hAnsi="Times New Roman"/>
          <w:sz w:val="20"/>
          <w:lang w:val="en-US"/>
        </w:rPr>
        <w:t>, dysertacja doktorancka, Universitet Hamburgski, 6.1975, s. 413-414</w:t>
      </w:r>
      <w:r w:rsidRPr="00200C0C">
        <w:rPr>
          <w:rFonts w:ascii="Times New Roman" w:hAnsi="Times New Roman"/>
          <w:sz w:val="20"/>
        </w:rPr>
        <w:t>):</w:t>
      </w:r>
    </w:p>
    <w:p w:rsidR="00D460C5" w:rsidRPr="00200C0C" w:rsidRDefault="00D460C5" w:rsidP="00D460C5">
      <w:pPr>
        <w:rPr>
          <w:rFonts w:ascii="Times New Roman" w:hAnsi="Times New Roman"/>
          <w:sz w:val="20"/>
        </w:rPr>
      </w:pPr>
      <w:r w:rsidRPr="00200C0C">
        <w:rPr>
          <w:rFonts w:ascii="Times New Roman" w:hAnsi="Times New Roman"/>
          <w:sz w:val="20"/>
        </w:rPr>
        <w:t xml:space="preserve">1. Genealogie w </w:t>
      </w:r>
      <w:r w:rsidRPr="00200C0C">
        <w:rPr>
          <w:rFonts w:ascii="Times New Roman" w:hAnsi="Times New Roman"/>
          <w:i/>
          <w:iCs/>
          <w:sz w:val="20"/>
        </w:rPr>
        <w:t>Ewangelii Mateusza</w:t>
      </w:r>
      <w:r w:rsidRPr="00200C0C">
        <w:rPr>
          <w:rFonts w:ascii="Times New Roman" w:hAnsi="Times New Roman"/>
          <w:sz w:val="20"/>
        </w:rPr>
        <w:t xml:space="preserve"> i </w:t>
      </w:r>
      <w:r w:rsidRPr="00200C0C">
        <w:rPr>
          <w:rFonts w:ascii="Times New Roman" w:hAnsi="Times New Roman"/>
          <w:i/>
          <w:iCs/>
          <w:sz w:val="20"/>
        </w:rPr>
        <w:t>Ewangelii Łukasza</w:t>
      </w:r>
      <w:r w:rsidRPr="00200C0C">
        <w:rPr>
          <w:rFonts w:ascii="Times New Roman" w:hAnsi="Times New Roman"/>
          <w:sz w:val="20"/>
        </w:rPr>
        <w:t xml:space="preserve"> są podane w szabatowym, siódemkowym układzie, w którym większa liczba jest dzielona na segmenty liczące siedem kolejnych punktów. Mateusz podaje trzy grupy po 14 pokoleń, kończące się na Abrahamie, Dawidzie i Jezusie. Jezus jest kontynuacją i zwieńczeniem zbawczego wzorca ustanowionego w Izraelu. Łukasz wymienia 77 pokoleń, począwszy od stworzenia aż do Jezusa. Powiązanie Jezusa ze stworzeniem przez genealogię wskazuje, że Jego zbawienie jest przeznaczone dla całej ludzkości, a prawda ta jest symbolizowana przez szabat.</w:t>
      </w:r>
    </w:p>
    <w:p w:rsidR="00D460C5" w:rsidRPr="00200C0C" w:rsidRDefault="00D460C5" w:rsidP="00D460C5">
      <w:pPr>
        <w:rPr>
          <w:rFonts w:ascii="Times New Roman" w:hAnsi="Times New Roman"/>
          <w:sz w:val="20"/>
        </w:rPr>
      </w:pPr>
      <w:r w:rsidRPr="00200C0C">
        <w:rPr>
          <w:rFonts w:ascii="Times New Roman" w:hAnsi="Times New Roman"/>
          <w:sz w:val="20"/>
        </w:rPr>
        <w:t xml:space="preserve">2. Fakt iż Jezus jest „Panem szabatu” (zob. Mt 12,8 BT), oznacza, że szabat należy do Mesjasza, jak należał do Jahwe w </w:t>
      </w:r>
      <w:r w:rsidRPr="00200C0C">
        <w:rPr>
          <w:rFonts w:ascii="Times New Roman" w:hAnsi="Times New Roman"/>
          <w:i/>
          <w:iCs/>
          <w:sz w:val="20"/>
        </w:rPr>
        <w:t>Starym Testamencie</w:t>
      </w:r>
      <w:r w:rsidRPr="00200C0C">
        <w:rPr>
          <w:rFonts w:ascii="Times New Roman" w:hAnsi="Times New Roman"/>
          <w:sz w:val="20"/>
        </w:rPr>
        <w:t xml:space="preserve">. W </w:t>
      </w:r>
      <w:r w:rsidRPr="00200C0C">
        <w:rPr>
          <w:rFonts w:ascii="Times New Roman" w:hAnsi="Times New Roman"/>
          <w:i/>
          <w:iCs/>
          <w:sz w:val="20"/>
        </w:rPr>
        <w:t>Starym Testamencie</w:t>
      </w:r>
      <w:r w:rsidRPr="00200C0C">
        <w:rPr>
          <w:rFonts w:ascii="Times New Roman" w:hAnsi="Times New Roman"/>
          <w:sz w:val="20"/>
        </w:rPr>
        <w:t xml:space="preserve"> szabat był znakiem przymierza Boga z Izraelitami, aby wiedzieli, że Ten, który jest Panem szabatu, jest Bogiem </w:t>
      </w:r>
      <w:r w:rsidRPr="00200C0C">
        <w:rPr>
          <w:rFonts w:ascii="Times New Roman" w:hAnsi="Times New Roman"/>
          <w:iCs/>
          <w:sz w:val="20"/>
          <w:lang w:val="en-US"/>
        </w:rPr>
        <w:t>(Ez 20,20)</w:t>
      </w:r>
      <w:r w:rsidRPr="00200C0C">
        <w:rPr>
          <w:rFonts w:ascii="Times New Roman" w:hAnsi="Times New Roman"/>
          <w:sz w:val="20"/>
        </w:rPr>
        <w:t xml:space="preserve"> i to On ich uświęca </w:t>
      </w:r>
      <w:r w:rsidRPr="00200C0C">
        <w:rPr>
          <w:rFonts w:ascii="Times New Roman" w:hAnsi="Times New Roman"/>
          <w:iCs/>
          <w:sz w:val="20"/>
          <w:lang w:val="en-US"/>
        </w:rPr>
        <w:t>(Ez 20,12; Wj 31,13)</w:t>
      </w:r>
      <w:r w:rsidRPr="00200C0C">
        <w:rPr>
          <w:rFonts w:ascii="Times New Roman" w:hAnsi="Times New Roman"/>
          <w:sz w:val="20"/>
        </w:rPr>
        <w:t>. Obcy przybysz świętujący szabat także otrzymywał gwarancję  „</w:t>
      </w:r>
      <w:r w:rsidRPr="00200C0C">
        <w:rPr>
          <w:rFonts w:ascii="Times New Roman" w:hAnsi="Times New Roman"/>
          <w:color w:val="000000"/>
          <w:sz w:val="20"/>
        </w:rPr>
        <w:t>miejsce i (...) imię wieczne</w:t>
      </w:r>
      <w:r w:rsidRPr="00200C0C">
        <w:rPr>
          <w:rFonts w:ascii="Times New Roman" w:hAnsi="Times New Roman"/>
          <w:sz w:val="20"/>
        </w:rPr>
        <w:t xml:space="preserve">” w Jego domu </w:t>
      </w:r>
      <w:r w:rsidRPr="00200C0C">
        <w:rPr>
          <w:rFonts w:ascii="Times New Roman" w:hAnsi="Times New Roman"/>
          <w:iCs/>
          <w:sz w:val="20"/>
          <w:lang w:val="en-US"/>
        </w:rPr>
        <w:t>(Iz 56,5)</w:t>
      </w:r>
      <w:r w:rsidRPr="00200C0C">
        <w:rPr>
          <w:rFonts w:ascii="Times New Roman" w:hAnsi="Times New Roman"/>
          <w:sz w:val="20"/>
        </w:rPr>
        <w:t>, który miał być „</w:t>
      </w:r>
      <w:r w:rsidRPr="00200C0C">
        <w:rPr>
          <w:rFonts w:ascii="Times New Roman" w:hAnsi="Times New Roman"/>
          <w:color w:val="000000"/>
          <w:sz w:val="20"/>
        </w:rPr>
        <w:t>domem modlitwy dla wszystkich ludów</w:t>
      </w:r>
      <w:r w:rsidRPr="00200C0C">
        <w:rPr>
          <w:rFonts w:ascii="Times New Roman" w:hAnsi="Times New Roman"/>
          <w:sz w:val="20"/>
        </w:rPr>
        <w:t xml:space="preserve">” </w:t>
      </w:r>
      <w:r w:rsidRPr="00200C0C">
        <w:rPr>
          <w:rFonts w:ascii="Times New Roman" w:hAnsi="Times New Roman"/>
          <w:iCs/>
          <w:sz w:val="20"/>
          <w:lang w:val="en-US"/>
        </w:rPr>
        <w:t>(Iz 56,7)</w:t>
      </w:r>
      <w:r w:rsidRPr="00200C0C">
        <w:rPr>
          <w:rFonts w:ascii="Times New Roman" w:hAnsi="Times New Roman"/>
          <w:sz w:val="20"/>
        </w:rPr>
        <w:t xml:space="preserve">. „W tym sensie szabat jest z pewnością dany (...) dla człowieka, dla jego zbawienia”. Jezus podkreśla ten fakt zadając retoryczne pytanie, czy szabat jest okazja do „zachowania życia” </w:t>
      </w:r>
      <w:r w:rsidRPr="00200C0C">
        <w:rPr>
          <w:rFonts w:ascii="Times New Roman" w:hAnsi="Times New Roman"/>
          <w:iCs/>
          <w:sz w:val="20"/>
          <w:lang w:val="en-US"/>
        </w:rPr>
        <w:t xml:space="preserve">(Mk 3,4) </w:t>
      </w:r>
      <w:r w:rsidRPr="00200C0C">
        <w:rPr>
          <w:rFonts w:ascii="Times New Roman" w:hAnsi="Times New Roman"/>
          <w:sz w:val="20"/>
        </w:rPr>
        <w:t xml:space="preserve">i uwolnienia cierpiących z „pęt” </w:t>
      </w:r>
      <w:r w:rsidRPr="00200C0C">
        <w:rPr>
          <w:rFonts w:ascii="Times New Roman" w:hAnsi="Times New Roman"/>
          <w:iCs/>
          <w:sz w:val="20"/>
          <w:lang w:val="en-US"/>
        </w:rPr>
        <w:t>(Łk 13,16)</w:t>
      </w:r>
      <w:r w:rsidRPr="00200C0C">
        <w:rPr>
          <w:rFonts w:ascii="Times New Roman" w:hAnsi="Times New Roman"/>
          <w:sz w:val="20"/>
        </w:rPr>
        <w:t xml:space="preserve">. Tak więc w </w:t>
      </w:r>
      <w:r w:rsidRPr="00200C0C">
        <w:rPr>
          <w:rFonts w:ascii="Times New Roman" w:hAnsi="Times New Roman"/>
          <w:i/>
          <w:iCs/>
          <w:sz w:val="20"/>
        </w:rPr>
        <w:t>Starym Testamencie</w:t>
      </w:r>
      <w:r w:rsidRPr="00200C0C">
        <w:rPr>
          <w:rFonts w:ascii="Times New Roman" w:hAnsi="Times New Roman"/>
          <w:sz w:val="20"/>
        </w:rPr>
        <w:t xml:space="preserve"> szabat jest ściśle powiązany ze zbawieniem, a w </w:t>
      </w:r>
      <w:r w:rsidRPr="00200C0C">
        <w:rPr>
          <w:rFonts w:ascii="Times New Roman" w:hAnsi="Times New Roman"/>
          <w:i/>
          <w:iCs/>
          <w:sz w:val="20"/>
        </w:rPr>
        <w:t>Nowym Testamencie</w:t>
      </w:r>
      <w:r w:rsidRPr="00200C0C">
        <w:rPr>
          <w:rFonts w:ascii="Times New Roman" w:hAnsi="Times New Roman"/>
          <w:sz w:val="20"/>
        </w:rPr>
        <w:t xml:space="preserve"> - z Jezusem.</w:t>
      </w:r>
    </w:p>
    <w:p w:rsidR="00D460C5" w:rsidRPr="00200C0C" w:rsidRDefault="00D460C5" w:rsidP="00D460C5">
      <w:pPr>
        <w:rPr>
          <w:rFonts w:ascii="Times New Roman" w:hAnsi="Times New Roman"/>
          <w:iCs/>
          <w:sz w:val="20"/>
        </w:rPr>
      </w:pPr>
      <w:r w:rsidRPr="00200C0C">
        <w:rPr>
          <w:rFonts w:ascii="Times New Roman" w:hAnsi="Times New Roman"/>
          <w:sz w:val="20"/>
        </w:rPr>
        <w:t xml:space="preserve">3. Jak w </w:t>
      </w:r>
      <w:r w:rsidRPr="00200C0C">
        <w:rPr>
          <w:rFonts w:ascii="Times New Roman" w:hAnsi="Times New Roman"/>
          <w:i/>
          <w:iCs/>
          <w:sz w:val="20"/>
        </w:rPr>
        <w:t>Starym Testamencie</w:t>
      </w:r>
      <w:r w:rsidRPr="00200C0C">
        <w:rPr>
          <w:rFonts w:ascii="Times New Roman" w:hAnsi="Times New Roman"/>
          <w:sz w:val="20"/>
        </w:rPr>
        <w:t xml:space="preserve"> świątynia funkcjonowała jako miejsce przebaczenia, uwolnienia i zbawienia, tak Jezus - więcej niż świątynia - jest obecnie w centrum zbawienia. Zbawienie, które daje Jezus, zostało trafnie ukazane w dokonywanych przez Niego uzdrowieniach (słowo „zbawić” - </w:t>
      </w:r>
      <w:r w:rsidRPr="00200C0C">
        <w:rPr>
          <w:rFonts w:ascii="Times New Roman" w:hAnsi="Times New Roman"/>
          <w:i/>
          <w:iCs/>
          <w:sz w:val="20"/>
        </w:rPr>
        <w:t>sozo</w:t>
      </w:r>
      <w:r w:rsidRPr="00200C0C">
        <w:rPr>
          <w:rFonts w:ascii="Times New Roman" w:hAnsi="Times New Roman"/>
          <w:sz w:val="20"/>
        </w:rPr>
        <w:t xml:space="preserve"> - jest często używane w odniesieniu do fizycznego uzdrowienia, np. </w:t>
      </w:r>
      <w:r w:rsidRPr="00200C0C">
        <w:rPr>
          <w:rFonts w:ascii="Times New Roman" w:hAnsi="Times New Roman"/>
          <w:sz w:val="20"/>
          <w:lang w:val="en-US"/>
        </w:rPr>
        <w:t>Mt </w:t>
      </w:r>
      <w:r w:rsidRPr="00200C0C">
        <w:rPr>
          <w:rFonts w:ascii="Times New Roman" w:hAnsi="Times New Roman"/>
          <w:iCs/>
          <w:sz w:val="20"/>
          <w:lang w:val="en-US"/>
        </w:rPr>
        <w:t>9,22; Mk 6,56; Łk 17,19</w:t>
      </w:r>
      <w:r w:rsidRPr="00200C0C">
        <w:rPr>
          <w:rFonts w:ascii="Times New Roman" w:hAnsi="Times New Roman"/>
          <w:iCs/>
          <w:sz w:val="20"/>
        </w:rPr>
        <w:t xml:space="preserve">). Jezus świadomie demonstrował swoje uzdrowieńczo-zbawcze działania w szabat </w:t>
      </w:r>
      <w:r w:rsidRPr="00200C0C">
        <w:rPr>
          <w:rFonts w:ascii="Times New Roman" w:hAnsi="Times New Roman"/>
          <w:sz w:val="20"/>
          <w:lang w:val="en-US"/>
        </w:rPr>
        <w:t xml:space="preserve">(np. </w:t>
      </w:r>
      <w:r w:rsidRPr="00200C0C">
        <w:rPr>
          <w:rFonts w:ascii="Times New Roman" w:hAnsi="Times New Roman"/>
          <w:iCs/>
          <w:sz w:val="20"/>
          <w:lang w:val="en-US"/>
        </w:rPr>
        <w:t>Mk 3,4; Łk 13,10; J 5,1.9)</w:t>
      </w:r>
      <w:r w:rsidRPr="00200C0C">
        <w:rPr>
          <w:rFonts w:ascii="Times New Roman" w:hAnsi="Times New Roman"/>
          <w:iCs/>
          <w:sz w:val="20"/>
        </w:rPr>
        <w:t xml:space="preserve">. Każdy z tych przypadków, podobnie jak wiele innych, mógł poczekać na inny dzień, ale Jezus zamierzał „wykazać bliskość królestwa Bożego </w:t>
      </w:r>
      <w:r w:rsidRPr="00200C0C">
        <w:rPr>
          <w:rFonts w:ascii="Times New Roman" w:hAnsi="Times New Roman"/>
          <w:sz w:val="20"/>
          <w:lang w:val="en-US"/>
        </w:rPr>
        <w:t>(Łk 4,16-19; 7,22)</w:t>
      </w:r>
      <w:r w:rsidRPr="00200C0C">
        <w:rPr>
          <w:rFonts w:ascii="Times New Roman" w:hAnsi="Times New Roman"/>
          <w:iCs/>
          <w:sz w:val="20"/>
        </w:rPr>
        <w:t>” i celowo łączył szabat ze zbawienie, aby szabat stał się „znakiem mesjańskiego królestwa”.</w:t>
      </w:r>
    </w:p>
    <w:p w:rsidR="00D460C5" w:rsidRPr="00200C0C" w:rsidRDefault="00D460C5" w:rsidP="00D460C5">
      <w:pPr>
        <w:rPr>
          <w:rFonts w:ascii="Times New Roman" w:hAnsi="Times New Roman"/>
          <w:iCs/>
          <w:sz w:val="20"/>
        </w:rPr>
      </w:pPr>
    </w:p>
    <w:p w:rsidR="00D460C5" w:rsidRDefault="00D460C5" w:rsidP="00D460C5">
      <w:pPr>
        <w:rPr>
          <w:rFonts w:ascii="Times New Roman" w:hAnsi="Times New Roman"/>
          <w:b/>
          <w:sz w:val="20"/>
          <w:lang w:val="en-US"/>
        </w:rPr>
      </w:pPr>
      <w:r w:rsidRPr="00200C0C">
        <w:rPr>
          <w:rFonts w:ascii="Times New Roman" w:hAnsi="Times New Roman"/>
          <w:b/>
          <w:sz w:val="20"/>
          <w:lang w:val="en-US"/>
        </w:rPr>
        <w:t>Część III: Zastosowanie</w:t>
      </w:r>
    </w:p>
    <w:p w:rsidR="00D460C5" w:rsidRPr="00200C0C" w:rsidRDefault="00D460C5" w:rsidP="00D460C5">
      <w:pPr>
        <w:rPr>
          <w:rFonts w:ascii="Times New Roman" w:hAnsi="Times New Roman"/>
          <w:sz w:val="20"/>
          <w:lang w:val="en-US"/>
        </w:rPr>
      </w:pPr>
    </w:p>
    <w:p w:rsidR="00D460C5" w:rsidRPr="00200C0C" w:rsidRDefault="00D460C5" w:rsidP="00D460C5">
      <w:pPr>
        <w:rPr>
          <w:rFonts w:ascii="Times New Roman" w:hAnsi="Times New Roman"/>
          <w:sz w:val="20"/>
        </w:rPr>
      </w:pPr>
      <w:r w:rsidRPr="00200C0C">
        <w:rPr>
          <w:rFonts w:ascii="Times New Roman" w:hAnsi="Times New Roman"/>
          <w:sz w:val="20"/>
        </w:rPr>
        <w:t xml:space="preserve">Spostrzeżenia zawarte w powyższym komentarzu są jedynie czubkiem góry lodowej w kwestii znaczenia szabatu w </w:t>
      </w:r>
      <w:r w:rsidRPr="00200C0C">
        <w:rPr>
          <w:rFonts w:ascii="Times New Roman" w:hAnsi="Times New Roman"/>
          <w:i/>
          <w:iCs/>
          <w:sz w:val="20"/>
        </w:rPr>
        <w:t>Piśmie Świętym</w:t>
      </w:r>
      <w:r w:rsidRPr="00200C0C">
        <w:rPr>
          <w:rFonts w:ascii="Times New Roman" w:hAnsi="Times New Roman"/>
          <w:sz w:val="20"/>
        </w:rPr>
        <w:t xml:space="preserve">. Jako adwentyści dnia siódmego poświęcamy dużo czasu, starając się uczyć innych posłuszeństwa przykazaniu sobotniemu przy pomocy szeregu sprawdzonych wersetów. Wskutek tego zdarza nam się przeoczać szerszy zakres sobotniej teologii w </w:t>
      </w:r>
      <w:r w:rsidRPr="00200C0C">
        <w:rPr>
          <w:rFonts w:ascii="Times New Roman" w:hAnsi="Times New Roman"/>
          <w:i/>
          <w:iCs/>
          <w:sz w:val="20"/>
        </w:rPr>
        <w:t>Piśmie Świętym</w:t>
      </w:r>
      <w:r w:rsidRPr="00200C0C">
        <w:rPr>
          <w:rFonts w:ascii="Times New Roman" w:hAnsi="Times New Roman"/>
          <w:sz w:val="20"/>
        </w:rPr>
        <w:t>. Aby nikt nie zarzucił nam, że cała ta mowa o</w:t>
      </w:r>
      <w:r>
        <w:rPr>
          <w:rFonts w:ascii="Times New Roman" w:hAnsi="Times New Roman"/>
          <w:sz w:val="20"/>
        </w:rPr>
        <w:t> </w:t>
      </w:r>
      <w:r w:rsidRPr="00200C0C">
        <w:rPr>
          <w:rFonts w:ascii="Times New Roman" w:hAnsi="Times New Roman"/>
          <w:sz w:val="20"/>
        </w:rPr>
        <w:t xml:space="preserve"> szabacie to jedynie naciąganie przez adwentystów </w:t>
      </w:r>
      <w:r w:rsidRPr="00200C0C">
        <w:rPr>
          <w:rFonts w:ascii="Times New Roman" w:hAnsi="Times New Roman"/>
          <w:i/>
          <w:iCs/>
          <w:sz w:val="20"/>
        </w:rPr>
        <w:t>Pisma Świętego</w:t>
      </w:r>
      <w:r w:rsidRPr="00200C0C">
        <w:rPr>
          <w:rFonts w:ascii="Times New Roman" w:hAnsi="Times New Roman"/>
          <w:sz w:val="20"/>
        </w:rPr>
        <w:t xml:space="preserve"> w celu uzasadnienia świętowania szabatu, należy zauważyć, że powyższa teologia łącząca Jezusa, mesjańskie królestwo, nowe stworzenie i szabat </w:t>
      </w:r>
      <w:r w:rsidRPr="00200C0C">
        <w:rPr>
          <w:rFonts w:ascii="Times New Roman" w:hAnsi="Times New Roman"/>
          <w:i/>
          <w:iCs/>
          <w:sz w:val="20"/>
        </w:rPr>
        <w:t>nie została sformułowana przez adwentystów dnia siódmego</w:t>
      </w:r>
      <w:r w:rsidRPr="00200C0C">
        <w:rPr>
          <w:rFonts w:ascii="Times New Roman" w:hAnsi="Times New Roman"/>
          <w:sz w:val="20"/>
        </w:rPr>
        <w:t xml:space="preserve">. Nie trzeba być adwentystą dnia siódmego, by dostrzec te powiązania - wystarczy uważnie studiować </w:t>
      </w:r>
      <w:r w:rsidRPr="00200C0C">
        <w:rPr>
          <w:rFonts w:ascii="Times New Roman" w:hAnsi="Times New Roman"/>
          <w:i/>
          <w:iCs/>
          <w:sz w:val="20"/>
        </w:rPr>
        <w:t>Biblię</w:t>
      </w:r>
      <w:r w:rsidRPr="00200C0C">
        <w:rPr>
          <w:rFonts w:ascii="Times New Roman" w:hAnsi="Times New Roman"/>
          <w:sz w:val="20"/>
        </w:rPr>
        <w:t xml:space="preserve"> otwartym umysłem.</w:t>
      </w:r>
    </w:p>
    <w:p w:rsidR="00D460C5" w:rsidRPr="00200C0C" w:rsidRDefault="00D460C5" w:rsidP="00D460C5">
      <w:pPr>
        <w:rPr>
          <w:rFonts w:ascii="Times New Roman" w:hAnsi="Times New Roman"/>
          <w:sz w:val="20"/>
        </w:rPr>
      </w:pPr>
      <w:r w:rsidRPr="00200C0C">
        <w:rPr>
          <w:rFonts w:ascii="Times New Roman" w:hAnsi="Times New Roman"/>
          <w:sz w:val="20"/>
        </w:rPr>
        <w:t>Poza tym, że szabat nadal obowiązuje, możemy się nauczyć o nim więcej. W tym celu:</w:t>
      </w:r>
    </w:p>
    <w:p w:rsidR="00D460C5" w:rsidRPr="00200C0C" w:rsidRDefault="00D460C5" w:rsidP="00D460C5">
      <w:pPr>
        <w:rPr>
          <w:rFonts w:ascii="Times New Roman" w:hAnsi="Times New Roman"/>
          <w:sz w:val="20"/>
        </w:rPr>
      </w:pPr>
      <w:r w:rsidRPr="00200C0C">
        <w:rPr>
          <w:rFonts w:ascii="Times New Roman" w:hAnsi="Times New Roman"/>
          <w:sz w:val="20"/>
        </w:rPr>
        <w:t>1. Studiuj zaawansowane prace i wykłady teologiczne Instytutu Badań Biblijnych i Adwentystycznego Towarzystwa Teologicznego. Nawet jeśli zrozumiesz tylko 40 procent tego, co przeczytasz, i tak dużo się nauczysz, a twoje zrozumienie wzrośnie niepomiernie.</w:t>
      </w:r>
    </w:p>
    <w:p w:rsidR="00F47047" w:rsidRPr="00B879F1" w:rsidRDefault="00D460C5" w:rsidP="00D460C5">
      <w:pPr>
        <w:rPr>
          <w:rFonts w:ascii="Times New Roman" w:hAnsi="Times New Roman"/>
          <w:sz w:val="20"/>
        </w:rPr>
      </w:pPr>
      <w:r w:rsidRPr="00200C0C">
        <w:rPr>
          <w:rFonts w:ascii="Times New Roman" w:hAnsi="Times New Roman"/>
          <w:sz w:val="20"/>
        </w:rPr>
        <w:t>2. Utwórz małą grupę studiującą prace na temat szabatu. W ten sposób będziecie mogli wspierać się w</w:t>
      </w:r>
      <w:r>
        <w:rPr>
          <w:rFonts w:ascii="Times New Roman" w:hAnsi="Times New Roman"/>
          <w:sz w:val="20"/>
        </w:rPr>
        <w:t> </w:t>
      </w:r>
      <w:r w:rsidRPr="00200C0C">
        <w:rPr>
          <w:rFonts w:ascii="Times New Roman" w:hAnsi="Times New Roman"/>
          <w:sz w:val="20"/>
        </w:rPr>
        <w:t xml:space="preserve"> nauce i dzielić się spostrzeżeniami</w:t>
      </w:r>
    </w:p>
    <w:sectPr w:rsidR="00F47047" w:rsidRPr="00B879F1">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548D" w:rsidRDefault="000F548D" w:rsidP="00A820C9">
      <w:r>
        <w:separator/>
      </w:r>
    </w:p>
  </w:endnote>
  <w:endnote w:type="continuationSeparator" w:id="0">
    <w:p w:rsidR="000F548D" w:rsidRDefault="000F548D"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9940899"/>
      <w:docPartObj>
        <w:docPartGallery w:val="Page Numbers (Bottom of Page)"/>
        <w:docPartUnique/>
      </w:docPartObj>
    </w:sdtPr>
    <w:sdtEndPr>
      <w:rPr>
        <w:rFonts w:ascii="Times New Roman" w:hAnsi="Times New Roman"/>
        <w:sz w:val="16"/>
        <w:szCs w:val="16"/>
      </w:rPr>
    </w:sdtEndPr>
    <w:sdtContent>
      <w:p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0F548D">
          <w:rPr>
            <w:rFonts w:ascii="Times New Roman" w:hAnsi="Times New Roman"/>
            <w:noProof/>
            <w:sz w:val="16"/>
            <w:szCs w:val="16"/>
          </w:rPr>
          <w:t>1</w:t>
        </w:r>
        <w:r w:rsidRPr="00A820C9">
          <w:rPr>
            <w:rFonts w:ascii="Times New Roman" w:hAnsi="Times New Roman"/>
            <w:sz w:val="16"/>
            <w:szCs w:val="16"/>
          </w:rPr>
          <w:fldChar w:fldCharType="end"/>
        </w:r>
      </w:p>
    </w:sdtContent>
  </w:sdt>
  <w:p w:rsidR="00A97ECA" w:rsidRDefault="00A97ECA">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548D" w:rsidRDefault="000F548D" w:rsidP="00A820C9">
      <w:r>
        <w:separator/>
      </w:r>
    </w:p>
  </w:footnote>
  <w:footnote w:type="continuationSeparator" w:id="0">
    <w:p w:rsidR="000F548D" w:rsidRDefault="000F548D" w:rsidP="00A820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ECA" w:rsidRPr="00AA0514" w:rsidRDefault="00A97ECA" w:rsidP="002C1A03">
    <w:pPr>
      <w:tabs>
        <w:tab w:val="left" w:pos="5751"/>
      </w:tabs>
      <w:rPr>
        <w:rFonts w:ascii="Times New Roman" w:hAnsi="Times New Roman"/>
        <w:i/>
        <w:sz w:val="16"/>
        <w:szCs w:val="16"/>
      </w:rPr>
    </w:pPr>
    <w:r w:rsidRPr="00AA0514">
      <w:rPr>
        <w:rFonts w:ascii="Times New Roman" w:hAnsi="Times New Roman"/>
        <w:sz w:val="16"/>
        <w:szCs w:val="16"/>
      </w:rPr>
      <w:t xml:space="preserve">Lekcje Biblijne </w:t>
    </w:r>
    <w:r w:rsidR="00F47047">
      <w:rPr>
        <w:rFonts w:ascii="Times New Roman" w:hAnsi="Times New Roman"/>
        <w:sz w:val="16"/>
        <w:szCs w:val="16"/>
      </w:rPr>
      <w:t>4</w:t>
    </w:r>
    <w:r w:rsidRPr="00AA0514">
      <w:rPr>
        <w:rFonts w:ascii="Times New Roman" w:hAnsi="Times New Roman"/>
        <w:sz w:val="16"/>
        <w:szCs w:val="16"/>
      </w:rPr>
      <w:t>/2020</w:t>
    </w:r>
    <w:r>
      <w:rPr>
        <w:rFonts w:ascii="Times New Roman" w:hAnsi="Times New Roman"/>
        <w:sz w:val="16"/>
        <w:szCs w:val="16"/>
      </w:rPr>
      <w:t xml:space="preserve">, </w:t>
    </w:r>
    <w:r w:rsidR="00F47047">
      <w:rPr>
        <w:rFonts w:ascii="Times New Roman" w:hAnsi="Times New Roman"/>
        <w:sz w:val="16"/>
        <w:szCs w:val="16"/>
      </w:rPr>
      <w:t>Praca zbiorowa (Rektorzy uczelni adwentystycznych)-  „Edukacja”</w:t>
    </w:r>
    <w:r w:rsidR="002C1A03">
      <w:rPr>
        <w:rFonts w:ascii="Times New Roman" w:hAnsi="Times New Roman"/>
        <w:sz w:val="16"/>
        <w:szCs w:val="16"/>
      </w:rPr>
      <w:tab/>
    </w:r>
  </w:p>
  <w:p w:rsidR="00256C0B" w:rsidRPr="00F47047" w:rsidRDefault="00A97ECA" w:rsidP="00256C0B">
    <w:pPr>
      <w:rPr>
        <w:rFonts w:ascii="Times New Roman" w:hAnsi="Times New Roman"/>
        <w:i/>
        <w:sz w:val="16"/>
        <w:szCs w:val="16"/>
      </w:rPr>
    </w:pPr>
    <w:r w:rsidRPr="00AA0514">
      <w:rPr>
        <w:rFonts w:ascii="Times New Roman" w:hAnsi="Times New Roman"/>
        <w:sz w:val="16"/>
        <w:szCs w:val="16"/>
      </w:rPr>
      <w:t>Przewodnik dla nauczycieli</w:t>
    </w:r>
    <w:r>
      <w:rPr>
        <w:rFonts w:ascii="Times New Roman" w:hAnsi="Times New Roman"/>
        <w:sz w:val="16"/>
        <w:szCs w:val="16"/>
      </w:rPr>
      <w:t xml:space="preserve">, </w:t>
    </w:r>
    <w:r w:rsidRPr="00AA0514">
      <w:rPr>
        <w:rFonts w:ascii="Times New Roman" w:hAnsi="Times New Roman"/>
        <w:sz w:val="16"/>
        <w:szCs w:val="16"/>
      </w:rPr>
      <w:t>Lekcja</w:t>
    </w:r>
    <w:r w:rsidR="00C045AF">
      <w:rPr>
        <w:rFonts w:ascii="Times New Roman" w:hAnsi="Times New Roman"/>
        <w:sz w:val="16"/>
        <w:szCs w:val="16"/>
      </w:rPr>
      <w:t xml:space="preserve"> 1</w:t>
    </w:r>
    <w:r w:rsidR="00D460C5">
      <w:rPr>
        <w:rFonts w:ascii="Times New Roman" w:hAnsi="Times New Roman"/>
        <w:sz w:val="16"/>
        <w:szCs w:val="16"/>
      </w:rPr>
      <w:t>2</w:t>
    </w:r>
    <w:r>
      <w:rPr>
        <w:rFonts w:ascii="Times New Roman" w:hAnsi="Times New Roman"/>
        <w:b/>
        <w:sz w:val="16"/>
        <w:szCs w:val="16"/>
      </w:rPr>
      <w:t xml:space="preserve">– </w:t>
    </w:r>
    <w:r w:rsidR="00404868">
      <w:rPr>
        <w:rFonts w:ascii="Times New Roman" w:hAnsi="Times New Roman"/>
        <w:sz w:val="16"/>
        <w:szCs w:val="16"/>
      </w:rPr>
      <w:t xml:space="preserve"> </w:t>
    </w:r>
    <w:r w:rsidR="00D460C5">
      <w:rPr>
        <w:rFonts w:ascii="Times New Roman" w:hAnsi="Times New Roman"/>
        <w:sz w:val="16"/>
        <w:szCs w:val="16"/>
      </w:rPr>
      <w:t>19</w:t>
    </w:r>
    <w:r w:rsidR="00C045AF">
      <w:rPr>
        <w:rFonts w:ascii="Times New Roman" w:hAnsi="Times New Roman"/>
        <w:sz w:val="16"/>
        <w:szCs w:val="16"/>
      </w:rPr>
      <w:t xml:space="preserve"> grudnia</w:t>
    </w:r>
    <w:r w:rsidR="00F47047">
      <w:rPr>
        <w:rFonts w:ascii="Times New Roman" w:hAnsi="Times New Roman"/>
        <w:sz w:val="16"/>
        <w:szCs w:val="16"/>
      </w:rPr>
      <w:t xml:space="preserve">, </w:t>
    </w:r>
    <w:r w:rsidR="00F47047">
      <w:rPr>
        <w:rFonts w:ascii="Times New Roman" w:hAnsi="Times New Roman"/>
        <w:i/>
        <w:sz w:val="16"/>
        <w:szCs w:val="16"/>
      </w:rPr>
      <w:t xml:space="preserve"> </w:t>
    </w:r>
    <w:r w:rsidR="00D460C5">
      <w:rPr>
        <w:rFonts w:ascii="Times New Roman" w:hAnsi="Times New Roman"/>
        <w:i/>
        <w:sz w:val="16"/>
        <w:szCs w:val="16"/>
      </w:rPr>
      <w:t>Sobota. Doświadczenie charakteru Boga i życie zgodne z nim.</w:t>
    </w:r>
    <w:r w:rsidR="00AD4D5B">
      <w:rPr>
        <w:rFonts w:ascii="Times New Roman" w:hAnsi="Times New Roman"/>
        <w:i/>
        <w:sz w:val="16"/>
        <w:szCs w:val="16"/>
      </w:rPr>
      <w:t xml:space="preserve"> </w:t>
    </w:r>
  </w:p>
  <w:p w:rsidR="00A97ECA" w:rsidRPr="00AA0514" w:rsidRDefault="00A97ECA" w:rsidP="00AA0514">
    <w:pPr>
      <w:rPr>
        <w:rFonts w:ascii="Times New Roman" w:hAnsi="Times New Roman"/>
        <w:b/>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757"/>
    <w:rsid w:val="0002114D"/>
    <w:rsid w:val="000520B7"/>
    <w:rsid w:val="00057016"/>
    <w:rsid w:val="00057F7D"/>
    <w:rsid w:val="000601FC"/>
    <w:rsid w:val="000626C5"/>
    <w:rsid w:val="00063209"/>
    <w:rsid w:val="00071DD3"/>
    <w:rsid w:val="00073013"/>
    <w:rsid w:val="0008053E"/>
    <w:rsid w:val="00084D07"/>
    <w:rsid w:val="00095BF6"/>
    <w:rsid w:val="000A7CAE"/>
    <w:rsid w:val="000B4665"/>
    <w:rsid w:val="000C39FA"/>
    <w:rsid w:val="000C43D8"/>
    <w:rsid w:val="000D0B43"/>
    <w:rsid w:val="000E3D8C"/>
    <w:rsid w:val="000F548D"/>
    <w:rsid w:val="00130250"/>
    <w:rsid w:val="00131D4E"/>
    <w:rsid w:val="001344DC"/>
    <w:rsid w:val="00160A2E"/>
    <w:rsid w:val="001634CA"/>
    <w:rsid w:val="00172E60"/>
    <w:rsid w:val="001900C2"/>
    <w:rsid w:val="001A14AD"/>
    <w:rsid w:val="001F3AB8"/>
    <w:rsid w:val="00211923"/>
    <w:rsid w:val="00247ECF"/>
    <w:rsid w:val="00256C0B"/>
    <w:rsid w:val="002646E2"/>
    <w:rsid w:val="0027003D"/>
    <w:rsid w:val="0028485A"/>
    <w:rsid w:val="002A1958"/>
    <w:rsid w:val="002C1A03"/>
    <w:rsid w:val="002C4FFF"/>
    <w:rsid w:val="002D1C21"/>
    <w:rsid w:val="002F38CF"/>
    <w:rsid w:val="002F7A06"/>
    <w:rsid w:val="003233CA"/>
    <w:rsid w:val="00323F87"/>
    <w:rsid w:val="0033532F"/>
    <w:rsid w:val="00341D7B"/>
    <w:rsid w:val="003562CF"/>
    <w:rsid w:val="00357FBB"/>
    <w:rsid w:val="00362A7E"/>
    <w:rsid w:val="003A4695"/>
    <w:rsid w:val="003B7F2E"/>
    <w:rsid w:val="003C11EC"/>
    <w:rsid w:val="003C5237"/>
    <w:rsid w:val="003D35FF"/>
    <w:rsid w:val="003E5187"/>
    <w:rsid w:val="00404868"/>
    <w:rsid w:val="00411F03"/>
    <w:rsid w:val="00422C48"/>
    <w:rsid w:val="0043366A"/>
    <w:rsid w:val="0044128C"/>
    <w:rsid w:val="00457757"/>
    <w:rsid w:val="004622A1"/>
    <w:rsid w:val="004765D6"/>
    <w:rsid w:val="004A07EB"/>
    <w:rsid w:val="004A1F71"/>
    <w:rsid w:val="004A68C6"/>
    <w:rsid w:val="004D072B"/>
    <w:rsid w:val="004E2DE9"/>
    <w:rsid w:val="004F7F95"/>
    <w:rsid w:val="00504576"/>
    <w:rsid w:val="005205E4"/>
    <w:rsid w:val="00521F52"/>
    <w:rsid w:val="00535F72"/>
    <w:rsid w:val="00547F5F"/>
    <w:rsid w:val="005537F3"/>
    <w:rsid w:val="0055562E"/>
    <w:rsid w:val="005675D2"/>
    <w:rsid w:val="0058262E"/>
    <w:rsid w:val="0058625A"/>
    <w:rsid w:val="005B5CE3"/>
    <w:rsid w:val="005C0E8B"/>
    <w:rsid w:val="005C7E3B"/>
    <w:rsid w:val="005E01EF"/>
    <w:rsid w:val="005F1934"/>
    <w:rsid w:val="005F4946"/>
    <w:rsid w:val="00602B6F"/>
    <w:rsid w:val="00615FE6"/>
    <w:rsid w:val="006237C5"/>
    <w:rsid w:val="006254DA"/>
    <w:rsid w:val="00632A41"/>
    <w:rsid w:val="0063445E"/>
    <w:rsid w:val="0066123D"/>
    <w:rsid w:val="006657A7"/>
    <w:rsid w:val="00673C79"/>
    <w:rsid w:val="00680F75"/>
    <w:rsid w:val="00685F14"/>
    <w:rsid w:val="00690562"/>
    <w:rsid w:val="006A77D5"/>
    <w:rsid w:val="006F1B76"/>
    <w:rsid w:val="00725650"/>
    <w:rsid w:val="00727749"/>
    <w:rsid w:val="0074017C"/>
    <w:rsid w:val="007608BA"/>
    <w:rsid w:val="0076232D"/>
    <w:rsid w:val="00767D8E"/>
    <w:rsid w:val="007812DA"/>
    <w:rsid w:val="00785516"/>
    <w:rsid w:val="007C0F83"/>
    <w:rsid w:val="007E39EB"/>
    <w:rsid w:val="007F2BD7"/>
    <w:rsid w:val="008202AD"/>
    <w:rsid w:val="00845363"/>
    <w:rsid w:val="008572DB"/>
    <w:rsid w:val="00870FEF"/>
    <w:rsid w:val="0087312A"/>
    <w:rsid w:val="008A4CC9"/>
    <w:rsid w:val="008A5882"/>
    <w:rsid w:val="008C1F5B"/>
    <w:rsid w:val="008C694D"/>
    <w:rsid w:val="008E0114"/>
    <w:rsid w:val="008E1633"/>
    <w:rsid w:val="00903AB3"/>
    <w:rsid w:val="00904615"/>
    <w:rsid w:val="00934141"/>
    <w:rsid w:val="009378A8"/>
    <w:rsid w:val="00947D49"/>
    <w:rsid w:val="00971A12"/>
    <w:rsid w:val="00974B48"/>
    <w:rsid w:val="0097572F"/>
    <w:rsid w:val="00980C54"/>
    <w:rsid w:val="00997535"/>
    <w:rsid w:val="009A6521"/>
    <w:rsid w:val="009A7A43"/>
    <w:rsid w:val="009C3EC3"/>
    <w:rsid w:val="009D20F6"/>
    <w:rsid w:val="009E786E"/>
    <w:rsid w:val="009F11FB"/>
    <w:rsid w:val="00A03AF6"/>
    <w:rsid w:val="00A06761"/>
    <w:rsid w:val="00A10178"/>
    <w:rsid w:val="00A1594B"/>
    <w:rsid w:val="00A22AA7"/>
    <w:rsid w:val="00A249C3"/>
    <w:rsid w:val="00A33F0F"/>
    <w:rsid w:val="00A372AD"/>
    <w:rsid w:val="00A41678"/>
    <w:rsid w:val="00A45D17"/>
    <w:rsid w:val="00A47A53"/>
    <w:rsid w:val="00A501CB"/>
    <w:rsid w:val="00A51056"/>
    <w:rsid w:val="00A55737"/>
    <w:rsid w:val="00A74F83"/>
    <w:rsid w:val="00A81F1D"/>
    <w:rsid w:val="00A820C9"/>
    <w:rsid w:val="00A85D90"/>
    <w:rsid w:val="00A97ECA"/>
    <w:rsid w:val="00AA0514"/>
    <w:rsid w:val="00AA336A"/>
    <w:rsid w:val="00AC3205"/>
    <w:rsid w:val="00AD4D5B"/>
    <w:rsid w:val="00AD7194"/>
    <w:rsid w:val="00B12BA8"/>
    <w:rsid w:val="00B27439"/>
    <w:rsid w:val="00B32C6C"/>
    <w:rsid w:val="00B42BF8"/>
    <w:rsid w:val="00B5045B"/>
    <w:rsid w:val="00B53BCA"/>
    <w:rsid w:val="00B608AC"/>
    <w:rsid w:val="00B70608"/>
    <w:rsid w:val="00BD0104"/>
    <w:rsid w:val="00BE5836"/>
    <w:rsid w:val="00C045AF"/>
    <w:rsid w:val="00C14432"/>
    <w:rsid w:val="00C2619A"/>
    <w:rsid w:val="00C34141"/>
    <w:rsid w:val="00C42F81"/>
    <w:rsid w:val="00C44AC9"/>
    <w:rsid w:val="00C539F9"/>
    <w:rsid w:val="00C61B5B"/>
    <w:rsid w:val="00C711AB"/>
    <w:rsid w:val="00C85D32"/>
    <w:rsid w:val="00CA1F88"/>
    <w:rsid w:val="00CB2110"/>
    <w:rsid w:val="00CB571A"/>
    <w:rsid w:val="00CD55B6"/>
    <w:rsid w:val="00CD6B02"/>
    <w:rsid w:val="00CE4997"/>
    <w:rsid w:val="00CF2F3B"/>
    <w:rsid w:val="00D0120F"/>
    <w:rsid w:val="00D17CAF"/>
    <w:rsid w:val="00D43CA9"/>
    <w:rsid w:val="00D460C5"/>
    <w:rsid w:val="00D5040D"/>
    <w:rsid w:val="00D5746C"/>
    <w:rsid w:val="00D67231"/>
    <w:rsid w:val="00D7222D"/>
    <w:rsid w:val="00DD7EA6"/>
    <w:rsid w:val="00DE0B9C"/>
    <w:rsid w:val="00DE5AB9"/>
    <w:rsid w:val="00DF1EA2"/>
    <w:rsid w:val="00E024F6"/>
    <w:rsid w:val="00E03075"/>
    <w:rsid w:val="00E274A1"/>
    <w:rsid w:val="00E32868"/>
    <w:rsid w:val="00E74F52"/>
    <w:rsid w:val="00E9226C"/>
    <w:rsid w:val="00E95C9D"/>
    <w:rsid w:val="00EB34DD"/>
    <w:rsid w:val="00F42B0D"/>
    <w:rsid w:val="00F47047"/>
    <w:rsid w:val="00F5322D"/>
    <w:rsid w:val="00F757EC"/>
    <w:rsid w:val="00F86EBE"/>
    <w:rsid w:val="00F96322"/>
    <w:rsid w:val="00FB0002"/>
    <w:rsid w:val="00FC280C"/>
    <w:rsid w:val="00FF1219"/>
    <w:rsid w:val="00FF1B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37143C"/>
  <w15:chartTrackingRefBased/>
  <w15:docId w15:val="{D7322DC2-0E67-4680-A28B-1D6D46AC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1351</Words>
  <Characters>8107</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pastor Remigiusz Krok</cp:lastModifiedBy>
  <cp:revision>4</cp:revision>
  <cp:lastPrinted>2020-11-26T10:03:00Z</cp:lastPrinted>
  <dcterms:created xsi:type="dcterms:W3CDTF">2020-11-26T10:14:00Z</dcterms:created>
  <dcterms:modified xsi:type="dcterms:W3CDTF">2020-11-26T10:28:00Z</dcterms:modified>
</cp:coreProperties>
</file>