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05EB29F1"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386CDF">
        <w:rPr>
          <w:rFonts w:ascii="Times New Roman" w:hAnsi="Times New Roman"/>
          <w:sz w:val="20"/>
        </w:rPr>
        <w:t>6</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386CDF">
        <w:rPr>
          <w:rFonts w:ascii="Times New Roman" w:hAnsi="Times New Roman"/>
          <w:sz w:val="20"/>
        </w:rPr>
        <w:t>9</w:t>
      </w:r>
      <w:r w:rsidR="0043497F">
        <w:rPr>
          <w:rFonts w:ascii="Times New Roman" w:hAnsi="Times New Roman"/>
          <w:sz w:val="20"/>
        </w:rPr>
        <w:t xml:space="preserve"> </w:t>
      </w:r>
      <w:r w:rsidR="00F14878">
        <w:rPr>
          <w:rFonts w:ascii="Times New Roman" w:hAnsi="Times New Roman"/>
          <w:sz w:val="20"/>
        </w:rPr>
        <w:t>sierpnia</w:t>
      </w:r>
    </w:p>
    <w:p w14:paraId="51543C8C" w14:textId="77777777" w:rsidR="00EE133D" w:rsidRPr="00EE133D" w:rsidRDefault="00EE133D" w:rsidP="00EE133D">
      <w:pPr>
        <w:jc w:val="center"/>
        <w:rPr>
          <w:rFonts w:ascii="Times New Roman" w:hAnsi="Times New Roman"/>
          <w:sz w:val="24"/>
          <w:szCs w:val="24"/>
        </w:rPr>
      </w:pPr>
      <w:r w:rsidRPr="00EE133D">
        <w:rPr>
          <w:rFonts w:ascii="Times New Roman" w:hAnsi="Times New Roman"/>
          <w:b/>
          <w:bCs/>
          <w:sz w:val="24"/>
          <w:szCs w:val="24"/>
        </w:rPr>
        <w:t>PRZEZ MORZE CZERWONE</w:t>
      </w:r>
    </w:p>
    <w:p w14:paraId="53A5BFF0" w14:textId="77777777" w:rsidR="00386CDF" w:rsidRPr="009C5D40" w:rsidRDefault="00386CDF" w:rsidP="00386CDF">
      <w:pPr>
        <w:ind w:firstLine="0"/>
        <w:rPr>
          <w:rFonts w:ascii="Times New Roman" w:hAnsi="Times New Roman"/>
          <w:b/>
          <w:bCs/>
          <w:sz w:val="20"/>
        </w:rPr>
      </w:pPr>
      <w:r w:rsidRPr="009C5D40">
        <w:rPr>
          <w:rFonts w:ascii="Times New Roman" w:hAnsi="Times New Roman"/>
          <w:b/>
          <w:bCs/>
          <w:sz w:val="20"/>
        </w:rPr>
        <w:t>Przez Morze Czerwone</w:t>
      </w:r>
    </w:p>
    <w:p w14:paraId="18C146C3" w14:textId="77777777" w:rsidR="00386CDF" w:rsidRPr="009C5D40" w:rsidRDefault="00386CDF" w:rsidP="00386CDF">
      <w:pPr>
        <w:ind w:firstLine="0"/>
        <w:rPr>
          <w:rFonts w:ascii="Times New Roman" w:hAnsi="Times New Roman"/>
          <w:sz w:val="20"/>
        </w:rPr>
      </w:pPr>
    </w:p>
    <w:p w14:paraId="49C461E2" w14:textId="77777777" w:rsidR="00386CDF" w:rsidRPr="009C5D40" w:rsidRDefault="00386CDF" w:rsidP="00386CDF">
      <w:pPr>
        <w:ind w:firstLine="0"/>
        <w:rPr>
          <w:rFonts w:ascii="Times New Roman" w:hAnsi="Times New Roman"/>
          <w:iCs/>
          <w:sz w:val="20"/>
        </w:rPr>
      </w:pPr>
      <w:r w:rsidRPr="009C5D40">
        <w:rPr>
          <w:rFonts w:ascii="Times New Roman" w:hAnsi="Times New Roman"/>
          <w:b/>
          <w:bCs/>
          <w:sz w:val="20"/>
        </w:rPr>
        <w:t>Tekst przewodni:</w:t>
      </w:r>
      <w:r w:rsidRPr="009C5D40">
        <w:rPr>
          <w:rFonts w:ascii="Times New Roman" w:hAnsi="Times New Roman"/>
          <w:sz w:val="20"/>
        </w:rPr>
        <w:t xml:space="preserve"> </w:t>
      </w:r>
      <w:r w:rsidRPr="009C5D40">
        <w:rPr>
          <w:rFonts w:ascii="Times New Roman" w:hAnsi="Times New Roman"/>
          <w:iCs/>
          <w:sz w:val="20"/>
        </w:rPr>
        <w:t>Wj 14,13-14.30-31.</w:t>
      </w:r>
    </w:p>
    <w:p w14:paraId="0DEBFA0A" w14:textId="77777777" w:rsidR="00386CDF" w:rsidRPr="009C5D40" w:rsidRDefault="00386CDF" w:rsidP="00386CDF">
      <w:pPr>
        <w:ind w:firstLine="0"/>
        <w:rPr>
          <w:rFonts w:ascii="Times New Roman" w:hAnsi="Times New Roman"/>
          <w:sz w:val="20"/>
        </w:rPr>
      </w:pPr>
    </w:p>
    <w:p w14:paraId="30E40A6E" w14:textId="77777777" w:rsidR="00386CDF" w:rsidRPr="009C5D40" w:rsidRDefault="00386CDF" w:rsidP="00386CDF">
      <w:pPr>
        <w:ind w:firstLine="0"/>
        <w:rPr>
          <w:rFonts w:ascii="Times New Roman" w:hAnsi="Times New Roman"/>
          <w:sz w:val="20"/>
        </w:rPr>
      </w:pPr>
      <w:r w:rsidRPr="009C5D40">
        <w:rPr>
          <w:rFonts w:ascii="Times New Roman" w:hAnsi="Times New Roman"/>
          <w:b/>
          <w:bCs/>
          <w:sz w:val="20"/>
        </w:rPr>
        <w:t>Zakres studium:</w:t>
      </w:r>
      <w:r w:rsidRPr="009C5D40">
        <w:rPr>
          <w:rFonts w:ascii="Times New Roman" w:hAnsi="Times New Roman"/>
          <w:sz w:val="20"/>
        </w:rPr>
        <w:t xml:space="preserve"> </w:t>
      </w:r>
      <w:r w:rsidRPr="009C5D40">
        <w:rPr>
          <w:rFonts w:ascii="Times New Roman" w:hAnsi="Times New Roman"/>
          <w:iCs/>
          <w:sz w:val="20"/>
        </w:rPr>
        <w:t>Wj 12,31-15,21.</w:t>
      </w:r>
    </w:p>
    <w:p w14:paraId="3770EBAA" w14:textId="77777777" w:rsidR="00386CDF" w:rsidRPr="009C5D40" w:rsidRDefault="00386CDF" w:rsidP="00386CDF">
      <w:pPr>
        <w:ind w:firstLine="0"/>
        <w:rPr>
          <w:rFonts w:ascii="Times New Roman" w:hAnsi="Times New Roman"/>
          <w:sz w:val="20"/>
        </w:rPr>
      </w:pPr>
    </w:p>
    <w:p w14:paraId="020D9A19" w14:textId="77777777" w:rsidR="00386CDF" w:rsidRPr="009C5D40" w:rsidRDefault="00386CDF" w:rsidP="00386CDF">
      <w:pPr>
        <w:ind w:firstLine="0"/>
        <w:rPr>
          <w:rFonts w:ascii="Times New Roman" w:hAnsi="Times New Roman"/>
          <w:sz w:val="20"/>
        </w:rPr>
      </w:pPr>
      <w:r w:rsidRPr="009C5D40">
        <w:rPr>
          <w:rFonts w:ascii="Times New Roman" w:hAnsi="Times New Roman"/>
          <w:b/>
          <w:sz w:val="20"/>
        </w:rPr>
        <w:t>Część I: Przegląd</w:t>
      </w:r>
    </w:p>
    <w:p w14:paraId="5EDD738B" w14:textId="77777777" w:rsidR="00386CDF" w:rsidRPr="009C5D40" w:rsidRDefault="00386CDF" w:rsidP="00386CDF">
      <w:pPr>
        <w:ind w:firstLine="0"/>
        <w:rPr>
          <w:rFonts w:ascii="Times New Roman" w:hAnsi="Times New Roman"/>
          <w:sz w:val="20"/>
        </w:rPr>
      </w:pPr>
    </w:p>
    <w:p w14:paraId="70A679C1" w14:textId="77777777" w:rsidR="00386CDF" w:rsidRPr="009C5D40" w:rsidRDefault="00386CDF" w:rsidP="00386CDF">
      <w:pPr>
        <w:ind w:firstLine="0"/>
        <w:rPr>
          <w:rFonts w:ascii="Times New Roman" w:hAnsi="Times New Roman"/>
          <w:sz w:val="20"/>
        </w:rPr>
      </w:pPr>
      <w:r w:rsidRPr="009C5D40">
        <w:rPr>
          <w:rFonts w:ascii="Times New Roman" w:hAnsi="Times New Roman"/>
          <w:b/>
          <w:sz w:val="20"/>
        </w:rPr>
        <w:t>Wprowadzenie</w:t>
      </w:r>
    </w:p>
    <w:p w14:paraId="3D99E54A" w14:textId="77777777" w:rsidR="00386CDF" w:rsidRPr="009C5D40" w:rsidRDefault="00386CDF" w:rsidP="00386CDF">
      <w:pPr>
        <w:ind w:firstLine="284"/>
        <w:rPr>
          <w:rFonts w:ascii="Times New Roman" w:hAnsi="Times New Roman"/>
          <w:sz w:val="20"/>
        </w:rPr>
      </w:pPr>
      <w:r w:rsidRPr="009C5D40">
        <w:rPr>
          <w:rFonts w:ascii="Times New Roman" w:hAnsi="Times New Roman"/>
          <w:sz w:val="20"/>
        </w:rPr>
        <w:t>W dziejach ludu Bożego wyjście z Egiptu jest najbardziej niezwykłym wydarzeniem czasów starotestamentowych, gdyż w ramach tego wydarzenia Bóg interweniował w najbardziej spektakularny sposób. Po spożyciu baranka paschalnego Izraelici byli gotowi opuścić Egipt. Faraon wreszcie zgodził się na to, a oni nie zamierzali czekać, aż się rozmyśli. Zrozpaczony władca prosił Mojżesza i Aarona, by odeszli wraz z ludem i czcili swojego Boga. Pozwolił odejść wszystkim - mężczyznom, kobietom, dzieciom - a także zabrać ich stada. Poprzednio Mojżesz nie zgodził się, by Izraelici odeszli inaczej jak całymi rodzinami i ze zwierzętami, które hodowali. Ponadto Bóg zatroszczył się o środki na przyszłość dla nich - nie odeszli z kraju niewoli z pustymi rękami.</w:t>
      </w:r>
    </w:p>
    <w:p w14:paraId="53FE0B3E" w14:textId="0F840FBA" w:rsidR="00386CDF" w:rsidRPr="009C5D40" w:rsidRDefault="00386CDF" w:rsidP="00E653EB">
      <w:pPr>
        <w:ind w:firstLine="284"/>
        <w:rPr>
          <w:rFonts w:ascii="Times New Roman" w:hAnsi="Times New Roman"/>
          <w:iCs/>
          <w:sz w:val="20"/>
        </w:rPr>
      </w:pPr>
      <w:r w:rsidRPr="009C5D40">
        <w:rPr>
          <w:rFonts w:ascii="Times New Roman" w:hAnsi="Times New Roman"/>
          <w:sz w:val="20"/>
        </w:rPr>
        <w:t>Egipcjanie nie tylko błagali Izraelitów, by opuścili kraj, ale obdarowali ich srebrem, złotem i odzieżą, a</w:t>
      </w:r>
      <w:r w:rsidR="00F30291">
        <w:rPr>
          <w:rFonts w:ascii="Times New Roman" w:hAnsi="Times New Roman"/>
          <w:sz w:val="20"/>
        </w:rPr>
        <w:t> </w:t>
      </w:r>
      <w:r w:rsidRPr="009C5D40">
        <w:rPr>
          <w:rFonts w:ascii="Times New Roman" w:hAnsi="Times New Roman"/>
          <w:sz w:val="20"/>
        </w:rPr>
        <w:t xml:space="preserve">Mojżesz polecił im przyjąć to jako rekompensatę za lata niewolniczej służby. Później Izraelici mieli zadecydować, jak wykorzystać te środki. Jedni przeznaczyli je na złotego cielca, którego sporządził Aaron </w:t>
      </w:r>
      <w:r w:rsidRPr="009C5D40">
        <w:rPr>
          <w:rFonts w:ascii="Times New Roman" w:hAnsi="Times New Roman"/>
          <w:iCs/>
          <w:sz w:val="20"/>
        </w:rPr>
        <w:t>(Wj 32,1-2)</w:t>
      </w:r>
      <w:r w:rsidRPr="009C5D40">
        <w:rPr>
          <w:rFonts w:ascii="Times New Roman" w:hAnsi="Times New Roman"/>
          <w:sz w:val="20"/>
        </w:rPr>
        <w:t xml:space="preserve">, a inni oddali cenne tkaniny, drogie ozdoby, złoto, srebro i inne metale na budowę przybytku </w:t>
      </w:r>
      <w:r w:rsidRPr="009C5D40">
        <w:rPr>
          <w:rFonts w:ascii="Times New Roman" w:hAnsi="Times New Roman"/>
          <w:iCs/>
          <w:sz w:val="20"/>
        </w:rPr>
        <w:t>(Wj 25,1-7).</w:t>
      </w:r>
    </w:p>
    <w:p w14:paraId="54022EAD"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 xml:space="preserve">Temat „wyjścia” jest podkreślony na początku tej historii </w:t>
      </w:r>
      <w:r w:rsidRPr="009C5D40">
        <w:rPr>
          <w:rFonts w:ascii="Times New Roman" w:hAnsi="Times New Roman"/>
          <w:iCs/>
          <w:sz w:val="20"/>
        </w:rPr>
        <w:t>(Wj 12,37-41)</w:t>
      </w:r>
      <w:r w:rsidRPr="009C5D40">
        <w:rPr>
          <w:rFonts w:ascii="Times New Roman" w:hAnsi="Times New Roman"/>
          <w:sz w:val="20"/>
        </w:rPr>
        <w:t xml:space="preserve">, w jej trakcie </w:t>
      </w:r>
      <w:r w:rsidRPr="009C5D40">
        <w:rPr>
          <w:rFonts w:ascii="Times New Roman" w:hAnsi="Times New Roman"/>
          <w:iCs/>
          <w:sz w:val="20"/>
        </w:rPr>
        <w:t xml:space="preserve">(Wj 13,21-22) </w:t>
      </w:r>
      <w:r w:rsidRPr="009C5D40">
        <w:rPr>
          <w:rFonts w:ascii="Times New Roman" w:hAnsi="Times New Roman"/>
          <w:sz w:val="20"/>
        </w:rPr>
        <w:t>i na końcu, gdzie podkreślone zostało, że „</w:t>
      </w:r>
      <w:r w:rsidRPr="009C5D40">
        <w:rPr>
          <w:rFonts w:ascii="Times New Roman" w:hAnsi="Times New Roman"/>
          <w:color w:val="000000"/>
          <w:sz w:val="20"/>
        </w:rPr>
        <w:t>wybawił Pan w tym dniu Izraela</w:t>
      </w:r>
      <w:r w:rsidRPr="009C5D40">
        <w:rPr>
          <w:rFonts w:ascii="Times New Roman" w:hAnsi="Times New Roman"/>
          <w:sz w:val="20"/>
        </w:rPr>
        <w:t xml:space="preserve">” </w:t>
      </w:r>
      <w:r w:rsidRPr="009C5D40">
        <w:rPr>
          <w:rFonts w:ascii="Times New Roman" w:hAnsi="Times New Roman"/>
          <w:iCs/>
          <w:sz w:val="20"/>
        </w:rPr>
        <w:t>(Wj 14,30-31)</w:t>
      </w:r>
      <w:r w:rsidRPr="009C5D40">
        <w:rPr>
          <w:rFonts w:ascii="Times New Roman" w:hAnsi="Times New Roman"/>
          <w:sz w:val="20"/>
        </w:rPr>
        <w:t>.</w:t>
      </w:r>
    </w:p>
    <w:p w14:paraId="72C584ED" w14:textId="77777777" w:rsidR="00386CDF" w:rsidRPr="009C5D40" w:rsidRDefault="00386CDF" w:rsidP="00386CDF">
      <w:pPr>
        <w:ind w:firstLine="0"/>
        <w:rPr>
          <w:rFonts w:ascii="Times New Roman" w:hAnsi="Times New Roman"/>
          <w:sz w:val="20"/>
        </w:rPr>
      </w:pPr>
    </w:p>
    <w:p w14:paraId="1E896F63" w14:textId="77777777" w:rsidR="00386CDF" w:rsidRPr="009C5D40" w:rsidRDefault="00386CDF" w:rsidP="00386CDF">
      <w:pPr>
        <w:ind w:firstLine="0"/>
        <w:rPr>
          <w:rFonts w:ascii="Times New Roman" w:hAnsi="Times New Roman"/>
          <w:sz w:val="20"/>
        </w:rPr>
      </w:pPr>
      <w:r w:rsidRPr="009C5D40">
        <w:rPr>
          <w:rFonts w:ascii="Times New Roman" w:hAnsi="Times New Roman"/>
          <w:b/>
          <w:sz w:val="20"/>
        </w:rPr>
        <w:t>Część II: Komentarz</w:t>
      </w:r>
    </w:p>
    <w:p w14:paraId="1982E309" w14:textId="77777777" w:rsidR="00386CDF" w:rsidRPr="009C5D40" w:rsidRDefault="00386CDF" w:rsidP="00386CDF">
      <w:pPr>
        <w:ind w:firstLine="0"/>
        <w:rPr>
          <w:rFonts w:ascii="Times New Roman" w:hAnsi="Times New Roman"/>
          <w:sz w:val="20"/>
        </w:rPr>
      </w:pPr>
    </w:p>
    <w:p w14:paraId="4D4CA157" w14:textId="77777777" w:rsidR="00386CDF" w:rsidRPr="009C5D40" w:rsidRDefault="00386CDF" w:rsidP="00386CDF">
      <w:pPr>
        <w:ind w:firstLine="0"/>
        <w:rPr>
          <w:rFonts w:ascii="Times New Roman" w:hAnsi="Times New Roman"/>
          <w:sz w:val="20"/>
        </w:rPr>
      </w:pPr>
      <w:r w:rsidRPr="009C5D40">
        <w:rPr>
          <w:rFonts w:ascii="Times New Roman" w:hAnsi="Times New Roman"/>
          <w:b/>
          <w:bCs/>
          <w:sz w:val="20"/>
        </w:rPr>
        <w:t>Tło historyczne</w:t>
      </w:r>
    </w:p>
    <w:p w14:paraId="0FD674FA" w14:textId="77777777" w:rsidR="00386CDF" w:rsidRPr="009C5D40" w:rsidRDefault="00386CDF" w:rsidP="00E653EB">
      <w:pPr>
        <w:ind w:firstLine="284"/>
        <w:rPr>
          <w:rFonts w:ascii="Times New Roman" w:hAnsi="Times New Roman"/>
          <w:sz w:val="20"/>
        </w:rPr>
      </w:pPr>
      <w:r w:rsidRPr="009C5D40">
        <w:rPr>
          <w:rFonts w:ascii="Times New Roman" w:hAnsi="Times New Roman"/>
          <w:sz w:val="20"/>
        </w:rPr>
        <w:t>W ramach zrozumienia tła historycznego Wj 12 rozważ następujące dwa punkty:</w:t>
      </w:r>
    </w:p>
    <w:p w14:paraId="315263A7"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 xml:space="preserve">A. Po 430 latach od przybycia do Egiptu Izraelici mogli wreszcie wyruszyć do Ziemi Obiecanej. Przez podwójne użycie hebrajskiego słowa </w:t>
      </w:r>
      <w:r w:rsidRPr="009C5D40">
        <w:rPr>
          <w:rFonts w:ascii="Times New Roman" w:hAnsi="Times New Roman"/>
          <w:i/>
          <w:iCs/>
          <w:sz w:val="20"/>
        </w:rPr>
        <w:t>wajehi</w:t>
      </w:r>
      <w:r w:rsidRPr="009C5D40">
        <w:rPr>
          <w:rFonts w:ascii="Times New Roman" w:hAnsi="Times New Roman"/>
          <w:sz w:val="20"/>
        </w:rPr>
        <w:t>, „stało się”, „było”, w Wj 12,41 tekst podkreśla ten okres, stwierdzając, że „</w:t>
      </w:r>
      <w:r w:rsidRPr="009C5D40">
        <w:rPr>
          <w:rFonts w:ascii="Times New Roman" w:hAnsi="Times New Roman"/>
          <w:color w:val="000000"/>
          <w:sz w:val="20"/>
        </w:rPr>
        <w:t>dokładnie tego samego dnia, wyruszyły z ziemi egipskiej wszystkie zastępy Pana</w:t>
      </w:r>
      <w:r w:rsidRPr="009C5D40">
        <w:rPr>
          <w:rFonts w:ascii="Times New Roman" w:hAnsi="Times New Roman"/>
          <w:sz w:val="20"/>
        </w:rPr>
        <w:t xml:space="preserve">”. Początkowo w Egipcie znalazł się tylko Józef, a potem także Jakub z całą rodziną. Na początku było ich siedemdziesięcioro </w:t>
      </w:r>
      <w:r w:rsidRPr="009C5D40">
        <w:rPr>
          <w:rFonts w:ascii="Times New Roman" w:hAnsi="Times New Roman"/>
          <w:iCs/>
          <w:sz w:val="20"/>
        </w:rPr>
        <w:t>(Wj 1,5)</w:t>
      </w:r>
      <w:r w:rsidRPr="009C5D40">
        <w:rPr>
          <w:rFonts w:ascii="Times New Roman" w:hAnsi="Times New Roman"/>
          <w:sz w:val="20"/>
        </w:rPr>
        <w:t>, ale kiedy wychodzili, liczyli „</w:t>
      </w:r>
      <w:r w:rsidRPr="009C5D40">
        <w:rPr>
          <w:rFonts w:ascii="Times New Roman" w:hAnsi="Times New Roman"/>
          <w:color w:val="000000"/>
          <w:sz w:val="20"/>
        </w:rPr>
        <w:t>około sześciuset tysięcy mężów pieszych oprócz dzieci</w:t>
      </w:r>
      <w:r w:rsidRPr="009C5D40">
        <w:rPr>
          <w:rFonts w:ascii="Times New Roman" w:hAnsi="Times New Roman"/>
          <w:sz w:val="20"/>
        </w:rPr>
        <w:t xml:space="preserve">” </w:t>
      </w:r>
      <w:r w:rsidRPr="009C5D40">
        <w:rPr>
          <w:rFonts w:ascii="Times New Roman" w:hAnsi="Times New Roman"/>
          <w:iCs/>
          <w:sz w:val="20"/>
        </w:rPr>
        <w:t>(Wj 12,37; por. Wj 38,26)</w:t>
      </w:r>
      <w:r w:rsidRPr="009C5D40">
        <w:rPr>
          <w:rFonts w:ascii="Times New Roman" w:hAnsi="Times New Roman"/>
          <w:sz w:val="20"/>
        </w:rPr>
        <w:t>, co oznacza, że z Egiptu wyszło łącznie około dwóch milionów osób. Żyjąc w pałacu faraona Mojżesz otrzymał wyszkolenie wojskowe, więc wiedział, jak zorganizować tak wielką liczbę ludzi. Czytamy, że wychodzili z Egiptu „</w:t>
      </w:r>
      <w:r w:rsidRPr="009C5D40">
        <w:rPr>
          <w:rFonts w:ascii="Times New Roman" w:hAnsi="Times New Roman"/>
          <w:color w:val="000000"/>
          <w:sz w:val="20"/>
        </w:rPr>
        <w:t>zastęp za zastępem</w:t>
      </w:r>
      <w:r w:rsidRPr="009C5D40">
        <w:rPr>
          <w:rFonts w:ascii="Times New Roman" w:hAnsi="Times New Roman"/>
          <w:sz w:val="20"/>
        </w:rPr>
        <w:t xml:space="preserve">” </w:t>
      </w:r>
      <w:r w:rsidRPr="009C5D40">
        <w:rPr>
          <w:rFonts w:ascii="Times New Roman" w:hAnsi="Times New Roman"/>
          <w:iCs/>
          <w:sz w:val="20"/>
        </w:rPr>
        <w:t>(Wj 12,51; por. Wj 6,26; 7,4; 12,17.41)</w:t>
      </w:r>
      <w:r w:rsidRPr="009C5D40">
        <w:rPr>
          <w:rFonts w:ascii="Times New Roman" w:hAnsi="Times New Roman"/>
          <w:sz w:val="20"/>
        </w:rPr>
        <w:t>, to znaczy jako „wojskowe” oddziały, bataliony. Wyjście z Egiptu było więc dobrze zorganizowane, choć należy pamiętać, że maszerowano w tempie, jakie byli w stanie utrzymać „najsłabsi” czyli dzieci, starcy i stada.</w:t>
      </w:r>
    </w:p>
    <w:p w14:paraId="40C5C66C" w14:textId="77777777" w:rsidR="00386CDF" w:rsidRPr="009C5D40" w:rsidRDefault="00386CDF" w:rsidP="00386CDF">
      <w:pPr>
        <w:ind w:firstLine="0"/>
        <w:rPr>
          <w:rFonts w:ascii="Times New Roman" w:hAnsi="Times New Roman"/>
          <w:iCs/>
          <w:sz w:val="20"/>
        </w:rPr>
      </w:pPr>
      <w:r w:rsidRPr="009C5D40">
        <w:rPr>
          <w:rFonts w:ascii="Times New Roman" w:hAnsi="Times New Roman"/>
          <w:sz w:val="20"/>
        </w:rPr>
        <w:t xml:space="preserve">B. Wyjście z Egiptu nastąpiło przypuszczalnie w marcu 1450 roku p.n.e. według obliczeń dokonanych przez konserwatywnych biblistów, co oznacza, że 430 lat wstecz wypada 1880 rok p.n.e. Jak powinniśmy rozumieć ten okres? Istnieją dwa poglądy wśród konserwatywnych biblistów: (1) 430 lat upłynęło od czasu przybycia Józefa do Egiptu do wyjścia Izraelitów z Egiptu; (2) 430 lat należy liczyć od Abrahama do wyjścia Izraelitów z Egiptu. (Zob. </w:t>
      </w:r>
      <w:r w:rsidRPr="009C5D40">
        <w:rPr>
          <w:rFonts w:ascii="Times New Roman" w:hAnsi="Times New Roman"/>
          <w:i/>
          <w:iCs/>
          <w:sz w:val="20"/>
        </w:rPr>
        <w:t>The</w:t>
      </w:r>
      <w:r w:rsidRPr="009C5D40">
        <w:rPr>
          <w:rFonts w:ascii="Times New Roman" w:hAnsi="Times New Roman"/>
          <w:sz w:val="20"/>
        </w:rPr>
        <w:t xml:space="preserve"> </w:t>
      </w:r>
      <w:r w:rsidRPr="009C5D40">
        <w:rPr>
          <w:rFonts w:ascii="Times New Roman" w:hAnsi="Times New Roman"/>
          <w:i/>
          <w:iCs/>
          <w:sz w:val="20"/>
        </w:rPr>
        <w:t>SDA Bible Commentary</w:t>
      </w:r>
      <w:r w:rsidRPr="009C5D40">
        <w:rPr>
          <w:rFonts w:ascii="Times New Roman" w:hAnsi="Times New Roman"/>
          <w:sz w:val="20"/>
        </w:rPr>
        <w:t xml:space="preserve">, t. 1, s. 183-187.313-315.557, gdzie znajdziesz omówienie dwóch zasadniczych stanowisk w kwestii dłuższego i krótszego pobytu Izraelitów w Egipcie [albo tylko „w ziemi egipskiej”, według hebrajskiego tekstu masoreckiego, albo „w ziemi egipskiej” i „ziemi kananejskiej”, według </w:t>
      </w:r>
      <w:r w:rsidRPr="009C5D40">
        <w:rPr>
          <w:rFonts w:ascii="Times New Roman" w:hAnsi="Times New Roman"/>
          <w:i/>
          <w:iCs/>
          <w:sz w:val="20"/>
        </w:rPr>
        <w:t>Pięcioksięgu</w:t>
      </w:r>
      <w:r w:rsidRPr="009C5D40">
        <w:rPr>
          <w:rFonts w:ascii="Times New Roman" w:hAnsi="Times New Roman"/>
          <w:sz w:val="20"/>
        </w:rPr>
        <w:t xml:space="preserve"> </w:t>
      </w:r>
      <w:r w:rsidRPr="009C5D40">
        <w:rPr>
          <w:rFonts w:ascii="Times New Roman" w:hAnsi="Times New Roman"/>
          <w:i/>
          <w:sz w:val="20"/>
        </w:rPr>
        <w:t>Samarytańskiego</w:t>
      </w:r>
      <w:r w:rsidRPr="009C5D40">
        <w:rPr>
          <w:rFonts w:ascii="Times New Roman" w:hAnsi="Times New Roman"/>
          <w:iCs/>
          <w:sz w:val="20"/>
        </w:rPr>
        <w:t xml:space="preserve"> i </w:t>
      </w:r>
      <w:r w:rsidRPr="009C5D40">
        <w:rPr>
          <w:rFonts w:ascii="Times New Roman" w:hAnsi="Times New Roman"/>
          <w:i/>
          <w:sz w:val="20"/>
        </w:rPr>
        <w:t>Septuaginty</w:t>
      </w:r>
      <w:r w:rsidRPr="009C5D40">
        <w:rPr>
          <w:rFonts w:ascii="Times New Roman" w:hAnsi="Times New Roman"/>
          <w:iCs/>
          <w:sz w:val="20"/>
        </w:rPr>
        <w:t xml:space="preserve">, greckiego przekładu </w:t>
      </w:r>
      <w:r w:rsidRPr="009C5D40">
        <w:rPr>
          <w:rFonts w:ascii="Times New Roman" w:hAnsi="Times New Roman"/>
          <w:i/>
          <w:sz w:val="20"/>
        </w:rPr>
        <w:t>Starego Testamentu</w:t>
      </w:r>
      <w:r w:rsidRPr="009C5D40">
        <w:rPr>
          <w:rFonts w:ascii="Times New Roman" w:hAnsi="Times New Roman"/>
          <w:iCs/>
          <w:sz w:val="20"/>
        </w:rPr>
        <w:t>] oraz dowody na rzecz krótszego pobytu).</w:t>
      </w:r>
    </w:p>
    <w:p w14:paraId="7E5A0562" w14:textId="77777777" w:rsidR="00386CDF" w:rsidRPr="009C5D40" w:rsidRDefault="00386CDF" w:rsidP="00386CDF">
      <w:pPr>
        <w:ind w:firstLine="0"/>
        <w:rPr>
          <w:rFonts w:ascii="Times New Roman" w:hAnsi="Times New Roman"/>
          <w:iCs/>
          <w:sz w:val="20"/>
        </w:rPr>
      </w:pPr>
    </w:p>
    <w:p w14:paraId="5E8D6CDF" w14:textId="77777777" w:rsidR="00386CDF" w:rsidRPr="009C5D40" w:rsidRDefault="00386CDF" w:rsidP="00386CDF">
      <w:pPr>
        <w:ind w:firstLine="0"/>
        <w:rPr>
          <w:rFonts w:ascii="Times New Roman" w:hAnsi="Times New Roman"/>
          <w:b/>
          <w:bCs/>
          <w:iCs/>
          <w:sz w:val="20"/>
        </w:rPr>
      </w:pPr>
      <w:r w:rsidRPr="009C5D40">
        <w:rPr>
          <w:rFonts w:ascii="Times New Roman" w:hAnsi="Times New Roman"/>
          <w:b/>
          <w:color w:val="000000"/>
          <w:sz w:val="20"/>
        </w:rPr>
        <w:t>Pan za was walczyć będzie, wy zaś milczcie!</w:t>
      </w:r>
    </w:p>
    <w:p w14:paraId="729692FB" w14:textId="77777777" w:rsidR="00386CDF" w:rsidRPr="009C5D40" w:rsidRDefault="00386CDF" w:rsidP="00E653EB">
      <w:pPr>
        <w:ind w:firstLine="284"/>
        <w:rPr>
          <w:rFonts w:ascii="Times New Roman" w:hAnsi="Times New Roman"/>
          <w:sz w:val="20"/>
        </w:rPr>
      </w:pPr>
      <w:r w:rsidRPr="009C5D40">
        <w:rPr>
          <w:rFonts w:ascii="Times New Roman" w:hAnsi="Times New Roman"/>
          <w:sz w:val="20"/>
        </w:rPr>
        <w:t xml:space="preserve">Izraelici zostali przyparci do muru - przed nimi było Morze Czerwone albo skaliste góry o stromych zboczach, a za nimi doborowa armia faraona (zob. Ellen G. White, </w:t>
      </w:r>
      <w:r w:rsidRPr="009C5D40">
        <w:rPr>
          <w:rFonts w:ascii="Times New Roman" w:hAnsi="Times New Roman"/>
          <w:i/>
          <w:sz w:val="20"/>
        </w:rPr>
        <w:t>Wyjście</w:t>
      </w:r>
      <w:r w:rsidRPr="009C5D40">
        <w:rPr>
          <w:rFonts w:ascii="Times New Roman" w:hAnsi="Times New Roman"/>
          <w:sz w:val="20"/>
        </w:rPr>
        <w:t xml:space="preserve">, </w:t>
      </w:r>
      <w:r w:rsidRPr="009C5D40">
        <w:rPr>
          <w:rFonts w:ascii="Times New Roman" w:hAnsi="Times New Roman"/>
          <w:i/>
          <w:iCs/>
          <w:sz w:val="20"/>
        </w:rPr>
        <w:t>Wybrańcy Boga</w:t>
      </w:r>
      <w:r w:rsidRPr="009C5D40">
        <w:rPr>
          <w:rFonts w:ascii="Times New Roman" w:hAnsi="Times New Roman"/>
          <w:iCs/>
          <w:sz w:val="20"/>
        </w:rPr>
        <w:t xml:space="preserve">, wyd. 2, Warszawa 2018, </w:t>
      </w:r>
      <w:r w:rsidRPr="009C5D40">
        <w:rPr>
          <w:rFonts w:ascii="Times New Roman" w:hAnsi="Times New Roman"/>
          <w:sz w:val="20"/>
        </w:rPr>
        <w:t>s. 203.207). Z ludzkiego punktu widzenia była to sytuacja bez wyjścia. Izraelici zamarli z przerażenia. Bóg przez Mojżesza dodawał im odwagi: „</w:t>
      </w:r>
      <w:r w:rsidRPr="009C5D40">
        <w:rPr>
          <w:rFonts w:ascii="Times New Roman" w:hAnsi="Times New Roman"/>
          <w:color w:val="000000"/>
          <w:sz w:val="20"/>
        </w:rPr>
        <w:t>Nie bójcie się, wytrwajcie, a zobaczycie pomoc Pana, której udzieli wam dzisiaj!</w:t>
      </w:r>
      <w:r w:rsidRPr="009C5D40">
        <w:rPr>
          <w:rFonts w:ascii="Times New Roman" w:hAnsi="Times New Roman"/>
          <w:sz w:val="20"/>
        </w:rPr>
        <w:t xml:space="preserve">” </w:t>
      </w:r>
      <w:r w:rsidRPr="009C5D40">
        <w:rPr>
          <w:rFonts w:ascii="Times New Roman" w:hAnsi="Times New Roman"/>
          <w:iCs/>
          <w:sz w:val="20"/>
        </w:rPr>
        <w:t>(Wj 14,13)</w:t>
      </w:r>
      <w:r w:rsidRPr="009C5D40">
        <w:rPr>
          <w:rFonts w:ascii="Times New Roman" w:hAnsi="Times New Roman"/>
          <w:sz w:val="20"/>
        </w:rPr>
        <w:t>. Z natury nie wiemy, jak zachować spokój i cierpliwie czekać na Bożą interwencję. Zamiast czekać na Boga, milczeć i trwać w Jego łasce i mocy, chcielibyśmy walczyć i działać.</w:t>
      </w:r>
    </w:p>
    <w:p w14:paraId="15919D93"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 xml:space="preserve">Panowało ogromne napięcie. Ludzie nie wiedzieli, co robić. Tego, co stało się potem, nikt się nie spodziewał - Bóg nakazał im iść naprzód. Słup obłoku oznaczający widzialną obecność Boga przeniósł się z przodu kolumny </w:t>
      </w:r>
      <w:r w:rsidRPr="009C5D40">
        <w:rPr>
          <w:rFonts w:ascii="Times New Roman" w:hAnsi="Times New Roman"/>
          <w:sz w:val="20"/>
        </w:rPr>
        <w:lastRenderedPageBreak/>
        <w:t>na tył i „</w:t>
      </w:r>
      <w:r w:rsidRPr="009C5D40">
        <w:rPr>
          <w:rFonts w:ascii="Times New Roman" w:hAnsi="Times New Roman"/>
          <w:color w:val="000000"/>
          <w:sz w:val="20"/>
        </w:rPr>
        <w:t>wsunął się między obóz Egipcjan i obóz Izraela</w:t>
      </w:r>
      <w:r w:rsidRPr="009C5D40">
        <w:rPr>
          <w:rFonts w:ascii="Times New Roman" w:hAnsi="Times New Roman"/>
          <w:sz w:val="20"/>
        </w:rPr>
        <w:t xml:space="preserve">” </w:t>
      </w:r>
      <w:r w:rsidRPr="009C5D40">
        <w:rPr>
          <w:rFonts w:ascii="Times New Roman" w:hAnsi="Times New Roman"/>
          <w:iCs/>
          <w:sz w:val="20"/>
        </w:rPr>
        <w:t>(Wj 14,20)</w:t>
      </w:r>
      <w:r w:rsidRPr="009C5D40">
        <w:rPr>
          <w:rFonts w:ascii="Times New Roman" w:hAnsi="Times New Roman"/>
          <w:sz w:val="20"/>
        </w:rPr>
        <w:t>. Zgodnie z poleceniem Boga Mojżesz uniósł laskę nad morzem, a wówczas powiał wschodni wiatr i wody rozdzieliły się tak, iż ukazał się suchy ląd. Izraelici przemaszerowali tym wodnym korytarzem. Egipcjanie, widząc co się stało, rzucili się w pogoń za nimi. Jednak Pan spowodował zamieszanie w szeregach egipskiej armii i ta utonęła cała w Morzu Czerwonym, kiedy Izraelici znaleźli się bezpiecznie na drugim brzegu. W ten sposób Izraelici doświadczyli niesamowitego Bożego zwycięstwa i zbawienia.</w:t>
      </w:r>
    </w:p>
    <w:p w14:paraId="0E56C395" w14:textId="5DB9E805" w:rsidR="00386CDF" w:rsidRPr="009C5D40" w:rsidRDefault="00386CDF" w:rsidP="00E653EB">
      <w:pPr>
        <w:ind w:firstLine="284"/>
        <w:rPr>
          <w:rFonts w:ascii="Times New Roman" w:hAnsi="Times New Roman"/>
          <w:sz w:val="20"/>
        </w:rPr>
      </w:pPr>
      <w:r w:rsidRPr="009C5D40">
        <w:rPr>
          <w:rFonts w:ascii="Times New Roman" w:hAnsi="Times New Roman"/>
          <w:sz w:val="20"/>
        </w:rPr>
        <w:t>Egipt stał się symbolem tych, którzy sprzeciwiają się Bogu i odrzucają Go. Egipcjanie zawiedli na dwa sposoby: (1) uparcie sprzeciwiali się żywemu Panu i (2) usiłowali schwytać i zniewolić Izraelitów. Chciwość i</w:t>
      </w:r>
      <w:r w:rsidR="00F30291">
        <w:rPr>
          <w:rFonts w:ascii="Times New Roman" w:hAnsi="Times New Roman"/>
          <w:sz w:val="20"/>
        </w:rPr>
        <w:t> </w:t>
      </w:r>
      <w:r w:rsidRPr="009C5D40">
        <w:rPr>
          <w:rFonts w:ascii="Times New Roman" w:hAnsi="Times New Roman"/>
          <w:sz w:val="20"/>
        </w:rPr>
        <w:t>skłonność do przemocy doprowadziły ich do zagłady. Istnieje zasadnicza różnica między służeniem Panu, który darzy łaską, wolnością i zbawieniem, a służeniem faraonowi, który domaga się ślepego posłuszeństwa, wydaje zbrodnicze rozkazy, wiedzie w niewolę i ostatecznie naraża na śmierć.</w:t>
      </w:r>
    </w:p>
    <w:p w14:paraId="3199E0EE" w14:textId="77777777" w:rsidR="00386CDF" w:rsidRPr="009C5D40" w:rsidRDefault="00386CDF" w:rsidP="00386CDF">
      <w:pPr>
        <w:ind w:firstLine="0"/>
        <w:rPr>
          <w:rFonts w:ascii="Times New Roman" w:hAnsi="Times New Roman"/>
          <w:sz w:val="20"/>
        </w:rPr>
      </w:pPr>
    </w:p>
    <w:p w14:paraId="7756CDF8" w14:textId="77777777" w:rsidR="00386CDF" w:rsidRPr="009C5D40" w:rsidRDefault="00386CDF" w:rsidP="00386CDF">
      <w:pPr>
        <w:ind w:firstLine="0"/>
        <w:rPr>
          <w:rFonts w:ascii="Times New Roman" w:hAnsi="Times New Roman"/>
          <w:sz w:val="20"/>
        </w:rPr>
      </w:pPr>
      <w:r w:rsidRPr="009C5D40">
        <w:rPr>
          <w:rFonts w:ascii="Times New Roman" w:hAnsi="Times New Roman"/>
          <w:b/>
          <w:bCs/>
          <w:sz w:val="20"/>
        </w:rPr>
        <w:t>Pan zbawia</w:t>
      </w:r>
    </w:p>
    <w:p w14:paraId="5828962F" w14:textId="77777777" w:rsidR="00386CDF" w:rsidRPr="009C5D40" w:rsidRDefault="00386CDF" w:rsidP="00E653EB">
      <w:pPr>
        <w:ind w:firstLine="284"/>
        <w:rPr>
          <w:rFonts w:ascii="Times New Roman" w:hAnsi="Times New Roman"/>
          <w:sz w:val="20"/>
        </w:rPr>
      </w:pPr>
      <w:r w:rsidRPr="009C5D40">
        <w:rPr>
          <w:rFonts w:ascii="Times New Roman" w:hAnsi="Times New Roman"/>
          <w:sz w:val="20"/>
        </w:rPr>
        <w:t xml:space="preserve">W samym środku </w:t>
      </w:r>
      <w:r w:rsidRPr="009C5D40">
        <w:rPr>
          <w:rFonts w:ascii="Times New Roman" w:hAnsi="Times New Roman"/>
          <w:i/>
          <w:iCs/>
          <w:sz w:val="20"/>
        </w:rPr>
        <w:t>Księgi Wyjścia</w:t>
      </w:r>
      <w:r w:rsidRPr="009C5D40">
        <w:rPr>
          <w:rFonts w:ascii="Times New Roman" w:hAnsi="Times New Roman"/>
          <w:sz w:val="20"/>
        </w:rPr>
        <w:t xml:space="preserve"> zawarte jest doniosłe zdanie: „</w:t>
      </w:r>
      <w:r w:rsidRPr="009C5D40">
        <w:rPr>
          <w:rFonts w:ascii="Times New Roman" w:hAnsi="Times New Roman"/>
          <w:color w:val="000000"/>
          <w:sz w:val="20"/>
        </w:rPr>
        <w:t>Wybawił Pan (...) Izraela</w:t>
      </w:r>
      <w:r w:rsidRPr="009C5D40">
        <w:rPr>
          <w:rFonts w:ascii="Times New Roman" w:hAnsi="Times New Roman"/>
          <w:sz w:val="20"/>
        </w:rPr>
        <w:t xml:space="preserve">” </w:t>
      </w:r>
      <w:r w:rsidRPr="009C5D40">
        <w:rPr>
          <w:rFonts w:ascii="Times New Roman" w:hAnsi="Times New Roman"/>
          <w:iCs/>
          <w:sz w:val="20"/>
        </w:rPr>
        <w:t>(Wj 14,30)</w:t>
      </w:r>
      <w:r w:rsidRPr="009C5D40">
        <w:rPr>
          <w:rFonts w:ascii="Times New Roman" w:hAnsi="Times New Roman"/>
          <w:sz w:val="20"/>
        </w:rPr>
        <w:t xml:space="preserve">, które jest teologicznym magnesem, jądrem i źródłem całej księgi, gdyż wszystko w niej płynie do niego i od niego. To wyrażenie jest użyte tylko raz w </w:t>
      </w:r>
      <w:r w:rsidRPr="009C5D40">
        <w:rPr>
          <w:rFonts w:ascii="Times New Roman" w:hAnsi="Times New Roman"/>
          <w:i/>
          <w:iCs/>
          <w:sz w:val="20"/>
        </w:rPr>
        <w:t>Księdze Wyjścia</w:t>
      </w:r>
      <w:r w:rsidRPr="009C5D40">
        <w:rPr>
          <w:rFonts w:ascii="Times New Roman" w:hAnsi="Times New Roman"/>
          <w:sz w:val="20"/>
        </w:rPr>
        <w:t xml:space="preserve">. Zbawienie przyszło od Pana. Ważny teologicznie hebrajski czasownik </w:t>
      </w:r>
      <w:r w:rsidRPr="009C5D40">
        <w:rPr>
          <w:rFonts w:ascii="Times New Roman" w:hAnsi="Times New Roman"/>
          <w:i/>
          <w:iCs/>
          <w:sz w:val="20"/>
        </w:rPr>
        <w:t>jasza‘</w:t>
      </w:r>
      <w:r w:rsidRPr="009C5D40">
        <w:rPr>
          <w:rFonts w:ascii="Times New Roman" w:hAnsi="Times New Roman"/>
          <w:sz w:val="20"/>
        </w:rPr>
        <w:t xml:space="preserve"> znaczy „zbawić”, „ratować”, „odkupić” i występuje w imieniu Jezus (a także w imionach Jozue i Izajasz), które znaczy „Jahwe zbawia” </w:t>
      </w:r>
      <w:r w:rsidRPr="009C5D40">
        <w:rPr>
          <w:rFonts w:ascii="Times New Roman" w:hAnsi="Times New Roman"/>
          <w:iCs/>
          <w:sz w:val="20"/>
        </w:rPr>
        <w:t>(zob. Mt 1,21)</w:t>
      </w:r>
      <w:r w:rsidRPr="009C5D40">
        <w:rPr>
          <w:rFonts w:ascii="Times New Roman" w:hAnsi="Times New Roman"/>
          <w:sz w:val="20"/>
        </w:rPr>
        <w:t>. Bóg zbawił wszystkich Izraelitów, nie zabrakło ani jednego, w przeciwieństwie do egipskiego wojska, z którego „n</w:t>
      </w:r>
      <w:r w:rsidRPr="009C5D40">
        <w:rPr>
          <w:rFonts w:ascii="Times New Roman" w:hAnsi="Times New Roman"/>
          <w:color w:val="000000"/>
          <w:sz w:val="20"/>
        </w:rPr>
        <w:t>ie ostał się (...) ani jeden</w:t>
      </w:r>
      <w:r w:rsidRPr="009C5D40">
        <w:rPr>
          <w:rFonts w:ascii="Times New Roman" w:hAnsi="Times New Roman"/>
          <w:sz w:val="20"/>
        </w:rPr>
        <w:t xml:space="preserve">” </w:t>
      </w:r>
      <w:r w:rsidRPr="009C5D40">
        <w:rPr>
          <w:rFonts w:ascii="Times New Roman" w:hAnsi="Times New Roman"/>
          <w:iCs/>
          <w:sz w:val="20"/>
        </w:rPr>
        <w:t>(Wj 14,28)</w:t>
      </w:r>
      <w:r w:rsidRPr="009C5D40">
        <w:rPr>
          <w:rFonts w:ascii="Times New Roman" w:hAnsi="Times New Roman"/>
          <w:sz w:val="20"/>
        </w:rPr>
        <w:t>; wszyscy zginęli w Morzu Czerwonym. Zwycięstwo Pana było zupełnym triumfem.</w:t>
      </w:r>
    </w:p>
    <w:p w14:paraId="281662EA" w14:textId="77777777" w:rsidR="00386CDF" w:rsidRPr="009C5D40" w:rsidRDefault="00386CDF" w:rsidP="00E653EB">
      <w:pPr>
        <w:ind w:firstLine="284"/>
        <w:rPr>
          <w:rFonts w:ascii="Times New Roman" w:hAnsi="Times New Roman"/>
          <w:sz w:val="20"/>
        </w:rPr>
      </w:pPr>
      <w:r w:rsidRPr="009C5D40">
        <w:rPr>
          <w:rFonts w:ascii="Times New Roman" w:hAnsi="Times New Roman"/>
          <w:sz w:val="20"/>
        </w:rPr>
        <w:t xml:space="preserve">Na to niesamowite wybawienie Izraelici zareagowali bojaźnią i zaufaniem wobec Pana </w:t>
      </w:r>
      <w:r w:rsidRPr="009C5D40">
        <w:rPr>
          <w:rFonts w:ascii="Times New Roman" w:hAnsi="Times New Roman"/>
          <w:iCs/>
          <w:sz w:val="20"/>
        </w:rPr>
        <w:t>(Wj 14,31)</w:t>
      </w:r>
      <w:r w:rsidRPr="009C5D40">
        <w:rPr>
          <w:rFonts w:ascii="Times New Roman" w:hAnsi="Times New Roman"/>
          <w:sz w:val="20"/>
        </w:rPr>
        <w:t>. Czytamy, że ta pozytywna reakcja była wynikiem pokazu wielkiej mocy Pana przeciwko Egipcjanom. Celem faraona i jego wojska było najpewniej wymordowanie części Izraelitów w ramach pokazu mocy, a następnie wzięcie do niewoli pozostałych przy życiu. Jednak nie stało się to dzięki miłosiernej i sprawiedliwej Bożej interwencji. Odpowiedzią Izraelitów była chwała dla Boga wyrażona w formie pieśni.</w:t>
      </w:r>
    </w:p>
    <w:p w14:paraId="7DDD7CAD" w14:textId="77777777" w:rsidR="00386CDF" w:rsidRPr="009C5D40" w:rsidRDefault="00386CDF" w:rsidP="00386CDF">
      <w:pPr>
        <w:ind w:firstLine="0"/>
        <w:rPr>
          <w:rFonts w:ascii="Times New Roman" w:hAnsi="Times New Roman"/>
          <w:sz w:val="20"/>
        </w:rPr>
      </w:pPr>
    </w:p>
    <w:p w14:paraId="3504F89A" w14:textId="77777777" w:rsidR="00386CDF" w:rsidRPr="009C5D40" w:rsidRDefault="00386CDF" w:rsidP="00386CDF">
      <w:pPr>
        <w:ind w:firstLine="0"/>
        <w:rPr>
          <w:rFonts w:ascii="Times New Roman" w:hAnsi="Times New Roman"/>
          <w:sz w:val="20"/>
        </w:rPr>
      </w:pPr>
      <w:r w:rsidRPr="009C5D40">
        <w:rPr>
          <w:rFonts w:ascii="Times New Roman" w:hAnsi="Times New Roman"/>
          <w:b/>
          <w:bCs/>
          <w:sz w:val="20"/>
        </w:rPr>
        <w:t>Pieśni Mojżesza i Miriam</w:t>
      </w:r>
    </w:p>
    <w:p w14:paraId="1AC1FA3F" w14:textId="2B887837" w:rsidR="00386CDF" w:rsidRPr="009C5D40" w:rsidRDefault="00386CDF" w:rsidP="00E653EB">
      <w:pPr>
        <w:ind w:firstLine="284"/>
        <w:rPr>
          <w:rFonts w:ascii="Times New Roman" w:hAnsi="Times New Roman"/>
          <w:sz w:val="20"/>
        </w:rPr>
      </w:pPr>
      <w:r w:rsidRPr="009C5D40">
        <w:rPr>
          <w:rFonts w:ascii="Times New Roman" w:hAnsi="Times New Roman"/>
          <w:sz w:val="20"/>
        </w:rPr>
        <w:t>W klimatycznym zwieńczeniu cudu wyjścia z Egiptu Izraelici pod wodzą Mojżesza chwalili Pana w słowach wzniosłej poezji pełnej bogactwa wyobrażeń (tło tego wydarzenia jest wyjaśnione w Wj 15,19). Pieśni Mojżesza i Miriam były pieśniami zwycięstwa i wdzięczności. Pan jest w nich przedstawiony jako potężny Wojownik. Kulminacyjne wyrażenie to „</w:t>
      </w:r>
      <w:r w:rsidRPr="009C5D40">
        <w:rPr>
          <w:rFonts w:ascii="Times New Roman" w:hAnsi="Times New Roman"/>
          <w:color w:val="000000"/>
          <w:sz w:val="20"/>
        </w:rPr>
        <w:t>Pan będzie królował na wieki wieków</w:t>
      </w:r>
      <w:r w:rsidRPr="009C5D40">
        <w:rPr>
          <w:rFonts w:ascii="Times New Roman" w:hAnsi="Times New Roman"/>
          <w:sz w:val="20"/>
        </w:rPr>
        <w:t xml:space="preserve">” </w:t>
      </w:r>
      <w:r w:rsidRPr="009C5D40">
        <w:rPr>
          <w:rFonts w:ascii="Times New Roman" w:hAnsi="Times New Roman"/>
          <w:iCs/>
          <w:sz w:val="20"/>
        </w:rPr>
        <w:t>(Wj 15,18)</w:t>
      </w:r>
      <w:r w:rsidRPr="009C5D40">
        <w:rPr>
          <w:rFonts w:ascii="Times New Roman" w:hAnsi="Times New Roman"/>
          <w:sz w:val="20"/>
        </w:rPr>
        <w:t xml:space="preserve">, a ponieważ On jest wywyższonym i wiecznym Władcą, Mojżesz widzi w Nim swoją siłę, pieśń, zbawienie i Boga, a zatem chwali Go i wywyższa </w:t>
      </w:r>
      <w:r w:rsidRPr="009C5D40">
        <w:rPr>
          <w:rFonts w:ascii="Times New Roman" w:hAnsi="Times New Roman"/>
          <w:iCs/>
          <w:sz w:val="20"/>
        </w:rPr>
        <w:t>(Wj 15,1-2)</w:t>
      </w:r>
      <w:r w:rsidRPr="009C5D40">
        <w:rPr>
          <w:rFonts w:ascii="Times New Roman" w:hAnsi="Times New Roman"/>
          <w:sz w:val="20"/>
        </w:rPr>
        <w:t>. Nikt nie może się z Nim równać. Bóg jest „</w:t>
      </w:r>
      <w:r w:rsidRPr="009C5D40">
        <w:rPr>
          <w:rFonts w:ascii="Times New Roman" w:hAnsi="Times New Roman"/>
          <w:color w:val="000000"/>
          <w:sz w:val="20"/>
        </w:rPr>
        <w:t>wzniosły w świętości”, „straszliwy w</w:t>
      </w:r>
      <w:r w:rsidR="00F30291">
        <w:rPr>
          <w:rFonts w:ascii="Times New Roman" w:hAnsi="Times New Roman"/>
          <w:color w:val="000000"/>
          <w:sz w:val="20"/>
        </w:rPr>
        <w:t> </w:t>
      </w:r>
      <w:r w:rsidRPr="009C5D40">
        <w:rPr>
          <w:rFonts w:ascii="Times New Roman" w:hAnsi="Times New Roman"/>
          <w:color w:val="000000"/>
          <w:sz w:val="20"/>
        </w:rPr>
        <w:t>chwalebnych czynach, sprawca cudów</w:t>
      </w:r>
      <w:r w:rsidRPr="009C5D40">
        <w:rPr>
          <w:rFonts w:ascii="Times New Roman" w:hAnsi="Times New Roman"/>
          <w:sz w:val="20"/>
        </w:rPr>
        <w:t xml:space="preserve">” </w:t>
      </w:r>
      <w:r w:rsidRPr="009C5D40">
        <w:rPr>
          <w:rFonts w:ascii="Times New Roman" w:hAnsi="Times New Roman"/>
          <w:iCs/>
          <w:sz w:val="20"/>
        </w:rPr>
        <w:t>(Wj 15,11)</w:t>
      </w:r>
      <w:r w:rsidRPr="009C5D40">
        <w:rPr>
          <w:rFonts w:ascii="Times New Roman" w:hAnsi="Times New Roman"/>
          <w:sz w:val="20"/>
        </w:rPr>
        <w:t>. Mojżesz zwraca się do Pana i chwali Go: „</w:t>
      </w:r>
      <w:r w:rsidRPr="009C5D40">
        <w:rPr>
          <w:rFonts w:ascii="Times New Roman" w:hAnsi="Times New Roman"/>
          <w:color w:val="000000"/>
          <w:sz w:val="20"/>
        </w:rPr>
        <w:t>Pełnią swego majestatu powalasz przeciwników swoich</w:t>
      </w:r>
      <w:r w:rsidRPr="009C5D40">
        <w:rPr>
          <w:rFonts w:ascii="Times New Roman" w:hAnsi="Times New Roman"/>
          <w:sz w:val="20"/>
        </w:rPr>
        <w:t xml:space="preserve">” </w:t>
      </w:r>
      <w:r w:rsidRPr="009C5D40">
        <w:rPr>
          <w:rFonts w:ascii="Times New Roman" w:hAnsi="Times New Roman"/>
          <w:iCs/>
          <w:sz w:val="20"/>
        </w:rPr>
        <w:t xml:space="preserve">(Wj 15,7) </w:t>
      </w:r>
      <w:r w:rsidRPr="009C5D40">
        <w:rPr>
          <w:rFonts w:ascii="Times New Roman" w:hAnsi="Times New Roman"/>
          <w:sz w:val="20"/>
        </w:rPr>
        <w:t>i dalej: „</w:t>
      </w:r>
      <w:r w:rsidRPr="009C5D40">
        <w:rPr>
          <w:rFonts w:ascii="Times New Roman" w:hAnsi="Times New Roman"/>
          <w:color w:val="000000"/>
          <w:sz w:val="20"/>
        </w:rPr>
        <w:t>Łaską swoją wiodłeś lud, który wykupiłeś; prowadziłeś ich mocą swoją do siedziby twojej świętości</w:t>
      </w:r>
      <w:r w:rsidRPr="009C5D40">
        <w:rPr>
          <w:rFonts w:ascii="Times New Roman" w:hAnsi="Times New Roman"/>
          <w:sz w:val="20"/>
        </w:rPr>
        <w:t xml:space="preserve">” </w:t>
      </w:r>
      <w:r w:rsidRPr="009C5D40">
        <w:rPr>
          <w:rFonts w:ascii="Times New Roman" w:hAnsi="Times New Roman"/>
          <w:iCs/>
          <w:sz w:val="20"/>
        </w:rPr>
        <w:t>(Wj 15,13)</w:t>
      </w:r>
      <w:r w:rsidRPr="009C5D40">
        <w:rPr>
          <w:rFonts w:ascii="Times New Roman" w:hAnsi="Times New Roman"/>
          <w:sz w:val="20"/>
        </w:rPr>
        <w:t>. To miejsce, do którego nawiązuje w</w:t>
      </w:r>
      <w:r w:rsidR="00F30291">
        <w:rPr>
          <w:rFonts w:ascii="Times New Roman" w:hAnsi="Times New Roman"/>
          <w:sz w:val="20"/>
        </w:rPr>
        <w:t> </w:t>
      </w:r>
      <w:r w:rsidRPr="009C5D40">
        <w:rPr>
          <w:rFonts w:ascii="Times New Roman" w:hAnsi="Times New Roman"/>
          <w:sz w:val="20"/>
        </w:rPr>
        <w:t>Wj 15,17, jest nazwane „świątynią” znajdującą się „</w:t>
      </w:r>
      <w:r w:rsidRPr="009C5D40">
        <w:rPr>
          <w:rFonts w:ascii="Times New Roman" w:hAnsi="Times New Roman"/>
          <w:color w:val="000000"/>
          <w:sz w:val="20"/>
        </w:rPr>
        <w:t>na górze dziedzictwa</w:t>
      </w:r>
      <w:r w:rsidRPr="009C5D40">
        <w:rPr>
          <w:rFonts w:ascii="Times New Roman" w:hAnsi="Times New Roman"/>
          <w:sz w:val="20"/>
        </w:rPr>
        <w:t>” Bożego. Ta pieśń jest proroczym poematem wskazującym na świątynię jerozolimską.</w:t>
      </w:r>
    </w:p>
    <w:p w14:paraId="1EAA159C" w14:textId="77777777" w:rsidR="00386CDF" w:rsidRPr="009C5D40" w:rsidRDefault="00386CDF" w:rsidP="00E653EB">
      <w:pPr>
        <w:ind w:firstLine="284"/>
        <w:rPr>
          <w:rFonts w:ascii="Times New Roman" w:hAnsi="Times New Roman"/>
          <w:sz w:val="20"/>
        </w:rPr>
      </w:pPr>
      <w:r w:rsidRPr="009C5D40">
        <w:rPr>
          <w:rFonts w:ascii="Times New Roman" w:hAnsi="Times New Roman"/>
          <w:sz w:val="20"/>
        </w:rPr>
        <w:t>Pieśń składa się z siedmiu tematycznych zwrotek: (1) w. 1-3, wywyższenie Pana; (2) w. 4-5, zwycięstwo Pana nad faraonem; (3) w. 6-7, wyniosła wielkość Pana; (4) w. 8-10, stwórcza moc Pana i Jego sąd; (5) w. 11, wyjątkowość Pana; (6) w. 12-16a, miłość Pana i odkupienie z rąk wrogów; (7) w. 16b-18, Pan jest Królem i daje odpocznienie swojemu ludowi w Ziemi Obiecanej. W Wj 15,6.11.16 dwa wyrażenia są powtórzone dla podkreślenia. Poemat jest echem opisu stworzenia w Rdz 1-2, a więc wyznacza nowy początek dla ludu Bożego - stworzenie wyzwolonego narodu izraelskiego.</w:t>
      </w:r>
    </w:p>
    <w:p w14:paraId="7E0BC986" w14:textId="084330E1" w:rsidR="00386CDF" w:rsidRPr="009C5D40" w:rsidRDefault="00386CDF" w:rsidP="00E653EB">
      <w:pPr>
        <w:ind w:firstLine="284"/>
        <w:rPr>
          <w:rFonts w:ascii="Times New Roman" w:hAnsi="Times New Roman"/>
          <w:sz w:val="20"/>
        </w:rPr>
      </w:pPr>
      <w:r w:rsidRPr="009C5D40">
        <w:rPr>
          <w:rFonts w:ascii="Times New Roman" w:hAnsi="Times New Roman"/>
          <w:sz w:val="20"/>
        </w:rPr>
        <w:t xml:space="preserve">Miriam była uważana za prorokinię. Jej krótka pieśń </w:t>
      </w:r>
      <w:r w:rsidRPr="009C5D40">
        <w:rPr>
          <w:rFonts w:ascii="Times New Roman" w:hAnsi="Times New Roman"/>
          <w:iCs/>
          <w:sz w:val="20"/>
        </w:rPr>
        <w:t xml:space="preserve">(Wj 15,21) </w:t>
      </w:r>
      <w:r w:rsidRPr="009C5D40">
        <w:rPr>
          <w:rFonts w:ascii="Times New Roman" w:hAnsi="Times New Roman"/>
          <w:sz w:val="20"/>
        </w:rPr>
        <w:t xml:space="preserve">powtarza niektóre motywy pieśni Mojżesza </w:t>
      </w:r>
      <w:r w:rsidRPr="009C5D40">
        <w:rPr>
          <w:rFonts w:ascii="Times New Roman" w:hAnsi="Times New Roman"/>
          <w:iCs/>
          <w:sz w:val="20"/>
        </w:rPr>
        <w:t>(Wj 15,1)</w:t>
      </w:r>
      <w:r w:rsidRPr="009C5D40">
        <w:rPr>
          <w:rFonts w:ascii="Times New Roman" w:hAnsi="Times New Roman"/>
          <w:sz w:val="20"/>
        </w:rPr>
        <w:t>. Ale różni się od tamtej ważnym szczegółem. Miriam poprowadziła wszystkie izraelskie kobiety w</w:t>
      </w:r>
      <w:r w:rsidR="00F30291">
        <w:rPr>
          <w:rFonts w:ascii="Times New Roman" w:hAnsi="Times New Roman"/>
          <w:sz w:val="20"/>
        </w:rPr>
        <w:t> </w:t>
      </w:r>
      <w:r w:rsidRPr="009C5D40">
        <w:rPr>
          <w:rFonts w:ascii="Times New Roman" w:hAnsi="Times New Roman"/>
          <w:sz w:val="20"/>
        </w:rPr>
        <w:t>śpiewie (w trybie nakazującym) dla Pana przy akompaniamencie tamburynów. Jej serce było pełne wdzięczności, więc pomogła innym wyrazić podobną emocję. Bardzo możliwe, że kobiety zaśpiewały całą pieśń Mojżesza, która w sprawozdaniu została skrócona, a jej pierwsze słowa stanowią jej tytuł.</w:t>
      </w:r>
    </w:p>
    <w:p w14:paraId="253F214D" w14:textId="77777777" w:rsidR="00386CDF" w:rsidRPr="009C5D40" w:rsidRDefault="00386CDF" w:rsidP="00E653EB">
      <w:pPr>
        <w:ind w:firstLine="284"/>
        <w:rPr>
          <w:rFonts w:ascii="Times New Roman" w:hAnsi="Times New Roman"/>
          <w:sz w:val="20"/>
        </w:rPr>
      </w:pPr>
      <w:r w:rsidRPr="009C5D40">
        <w:rPr>
          <w:rFonts w:ascii="Times New Roman" w:hAnsi="Times New Roman"/>
          <w:sz w:val="20"/>
        </w:rPr>
        <w:t xml:space="preserve">Na szklistym morzu odkupieni zaśpiewają pieśń Mojżesza i Baranka </w:t>
      </w:r>
      <w:r w:rsidRPr="009C5D40">
        <w:rPr>
          <w:rFonts w:ascii="Times New Roman" w:hAnsi="Times New Roman"/>
          <w:iCs/>
          <w:sz w:val="20"/>
        </w:rPr>
        <w:t>(Ap 15,2-4)</w:t>
      </w:r>
      <w:r w:rsidRPr="009C5D40">
        <w:rPr>
          <w:rFonts w:ascii="Times New Roman" w:hAnsi="Times New Roman"/>
          <w:sz w:val="20"/>
        </w:rPr>
        <w:t>. Te pieśni są pieśniami wyzwolenia i zwycięstwa, a sławią miłość Boga, Jego sprawiedliwość i moc.</w:t>
      </w:r>
    </w:p>
    <w:p w14:paraId="01ED5820"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 xml:space="preserve">Później w </w:t>
      </w:r>
      <w:r w:rsidRPr="009C5D40">
        <w:rPr>
          <w:rFonts w:ascii="Times New Roman" w:hAnsi="Times New Roman"/>
          <w:i/>
          <w:iCs/>
          <w:sz w:val="20"/>
        </w:rPr>
        <w:t>Nowym Testamencie</w:t>
      </w:r>
      <w:r w:rsidRPr="009C5D40">
        <w:rPr>
          <w:rFonts w:ascii="Times New Roman" w:hAnsi="Times New Roman"/>
          <w:sz w:val="20"/>
        </w:rPr>
        <w:t xml:space="preserve"> apostoł Paweł zastosuje wyobrażenie przejścia przez wody Morza Czerwonego jako metaforę chrztu Izraelitów w Chrystusie </w:t>
      </w:r>
      <w:r w:rsidRPr="009C5D40">
        <w:rPr>
          <w:rFonts w:ascii="Times New Roman" w:hAnsi="Times New Roman"/>
          <w:iCs/>
          <w:sz w:val="20"/>
        </w:rPr>
        <w:t>(zob. 1 Kor 10,2)</w:t>
      </w:r>
      <w:r w:rsidRPr="009C5D40">
        <w:rPr>
          <w:rFonts w:ascii="Times New Roman" w:hAnsi="Times New Roman"/>
          <w:sz w:val="20"/>
        </w:rPr>
        <w:t>.</w:t>
      </w:r>
    </w:p>
    <w:p w14:paraId="095A6C3D" w14:textId="77777777" w:rsidR="00386CDF" w:rsidRPr="009C5D40" w:rsidRDefault="00386CDF" w:rsidP="00386CDF">
      <w:pPr>
        <w:ind w:firstLine="0"/>
        <w:rPr>
          <w:rFonts w:ascii="Times New Roman" w:hAnsi="Times New Roman"/>
          <w:sz w:val="20"/>
        </w:rPr>
      </w:pPr>
    </w:p>
    <w:p w14:paraId="6CF724DF" w14:textId="77777777" w:rsidR="00386CDF" w:rsidRPr="009C5D40" w:rsidRDefault="00386CDF" w:rsidP="00386CDF">
      <w:pPr>
        <w:ind w:firstLine="0"/>
        <w:rPr>
          <w:rFonts w:ascii="Times New Roman" w:hAnsi="Times New Roman"/>
          <w:sz w:val="20"/>
        </w:rPr>
      </w:pPr>
      <w:r w:rsidRPr="009C5D40">
        <w:rPr>
          <w:rFonts w:ascii="Times New Roman" w:hAnsi="Times New Roman"/>
          <w:b/>
          <w:sz w:val="20"/>
        </w:rPr>
        <w:t>Część III: Zastosowanie</w:t>
      </w:r>
    </w:p>
    <w:p w14:paraId="604E5F22"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1. Ufanie Panu i Jego obietnicom nie zawsze jest łatwe, zwłaszcza w niebezpiecznych czasach, kiedy Jego pomoc wydaje się niewidoczna, bo nie przychodzi natychmiast. Co to znaczy „milczeć” i czekać na Boże wyzwolenie?</w:t>
      </w:r>
    </w:p>
    <w:p w14:paraId="39A48E11"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2. Pan powiedział Mojżeszowi, by Izraelici nie tylko się modlili, ale także szli naprzód. Czy Bóg zawsze walczy za nas w każdej sytuacji, czy czasami oczekuje, byśmy działali zgodnie z Jego kierownictwem? Skąd mamy wiedzieć, kiedy czekać, a kiedy działać?</w:t>
      </w:r>
    </w:p>
    <w:p w14:paraId="78EAFF89"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lastRenderedPageBreak/>
        <w:t>3. Dlaczego Bóg musi często przypominać nam, że troszczy się o nas, i wspierać nas, wzywając, byśmy się nie bali? Dlaczego tak łatwo się zniechęcamy i popadamy w lęk?</w:t>
      </w:r>
    </w:p>
    <w:p w14:paraId="6A5A110B" w14:textId="77777777" w:rsidR="00386CDF" w:rsidRPr="009C5D40" w:rsidRDefault="00386CDF" w:rsidP="00386CDF">
      <w:pPr>
        <w:ind w:firstLine="0"/>
        <w:rPr>
          <w:rFonts w:ascii="Times New Roman" w:hAnsi="Times New Roman"/>
          <w:sz w:val="20"/>
        </w:rPr>
      </w:pPr>
      <w:r w:rsidRPr="009C5D40">
        <w:rPr>
          <w:rFonts w:ascii="Times New Roman" w:hAnsi="Times New Roman"/>
          <w:sz w:val="20"/>
        </w:rPr>
        <w:t>4. W jaki sposób pokonanie faraona i jego armii przyczyniło się do chwały Pana? Czym jest chwała Boga? Skąd Egipcjanie mieli wiedzieć, że to Bóg Jahwe stoi za tragediami, które ich dotknęły?</w:t>
      </w: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1693" w14:textId="77777777" w:rsidR="004F0D9D" w:rsidRDefault="004F0D9D" w:rsidP="00A820C9">
      <w:r>
        <w:separator/>
      </w:r>
    </w:p>
  </w:endnote>
  <w:endnote w:type="continuationSeparator" w:id="0">
    <w:p w14:paraId="2B74C82D" w14:textId="77777777" w:rsidR="004F0D9D" w:rsidRDefault="004F0D9D"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47A47" w14:textId="77777777" w:rsidR="004F0D9D" w:rsidRDefault="004F0D9D" w:rsidP="00A820C9">
      <w:r>
        <w:separator/>
      </w:r>
    </w:p>
  </w:footnote>
  <w:footnote w:type="continuationSeparator" w:id="0">
    <w:p w14:paraId="4C6C8EF1" w14:textId="77777777" w:rsidR="004F0D9D" w:rsidRDefault="004F0D9D"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48555B2F" w:rsidR="005A7551" w:rsidRPr="00C47D25"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1C1F81">
      <w:rPr>
        <w:rFonts w:ascii="Times New Roman" w:eastAsia="MS PMincho" w:hAnsi="Times New Roman"/>
        <w:sz w:val="16"/>
        <w:szCs w:val="16"/>
      </w:rPr>
      <w:t>3</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1C1F81">
      <w:rPr>
        <w:rFonts w:ascii="Times New Roman" w:hAnsi="Times New Roman"/>
        <w:sz w:val="16"/>
        <w:szCs w:val="16"/>
      </w:rPr>
      <w:t xml:space="preserve">Jiri Moskala, </w:t>
    </w:r>
    <w:r w:rsidR="001C1F81">
      <w:rPr>
        <w:rFonts w:ascii="Times New Roman" w:hAnsi="Times New Roman"/>
        <w:i/>
        <w:iCs/>
        <w:sz w:val="16"/>
        <w:szCs w:val="16"/>
      </w:rPr>
      <w:t xml:space="preserve">Księga Wyjścia, </w:t>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5A7551" w:rsidRPr="00B2361E">
      <w:rPr>
        <w:rFonts w:ascii="Times New Roman" w:hAnsi="Times New Roman"/>
        <w:sz w:val="16"/>
        <w:szCs w:val="16"/>
      </w:rPr>
      <w:t>Lekcja</w:t>
    </w:r>
    <w:r w:rsidR="005A7551">
      <w:rPr>
        <w:rFonts w:ascii="Times New Roman" w:hAnsi="Times New Roman"/>
        <w:sz w:val="16"/>
        <w:szCs w:val="16"/>
      </w:rPr>
      <w:t xml:space="preserve"> </w:t>
    </w:r>
    <w:r w:rsidR="00EE133D">
      <w:rPr>
        <w:rFonts w:ascii="Times New Roman" w:hAnsi="Times New Roman"/>
        <w:sz w:val="16"/>
        <w:szCs w:val="16"/>
      </w:rPr>
      <w:t>6</w:t>
    </w:r>
    <w:r w:rsidR="00E03D04">
      <w:rPr>
        <w:rFonts w:ascii="Times New Roman" w:hAnsi="Times New Roman"/>
        <w:sz w:val="16"/>
        <w:szCs w:val="16"/>
      </w:rPr>
      <w:t xml:space="preserve">- </w:t>
    </w:r>
    <w:r w:rsidR="00930363">
      <w:rPr>
        <w:rFonts w:ascii="Times New Roman" w:hAnsi="Times New Roman"/>
        <w:sz w:val="16"/>
        <w:szCs w:val="16"/>
      </w:rPr>
      <w:t>P</w:t>
    </w:r>
    <w:r w:rsidR="00EE133D">
      <w:rPr>
        <w:rFonts w:ascii="Times New Roman" w:hAnsi="Times New Roman"/>
        <w:sz w:val="16"/>
        <w:szCs w:val="16"/>
      </w:rPr>
      <w:t>rzez Morze Czerwone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7AD9"/>
    <w:rsid w:val="00267B4D"/>
    <w:rsid w:val="0027003D"/>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3E9E"/>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1A4"/>
    <w:rsid w:val="00422C48"/>
    <w:rsid w:val="00425017"/>
    <w:rsid w:val="004250E0"/>
    <w:rsid w:val="00425C5E"/>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0D9D"/>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3D39"/>
    <w:rsid w:val="0058625A"/>
    <w:rsid w:val="00586D63"/>
    <w:rsid w:val="005939F5"/>
    <w:rsid w:val="0059400D"/>
    <w:rsid w:val="00597DEE"/>
    <w:rsid w:val="00597FD2"/>
    <w:rsid w:val="005A1543"/>
    <w:rsid w:val="005A2815"/>
    <w:rsid w:val="005A45AA"/>
    <w:rsid w:val="005A7551"/>
    <w:rsid w:val="005B1BDE"/>
    <w:rsid w:val="005B345B"/>
    <w:rsid w:val="005B5CE3"/>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3BB"/>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A04"/>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AA5"/>
    <w:rsid w:val="00A15525"/>
    <w:rsid w:val="00A1594B"/>
    <w:rsid w:val="00A161FF"/>
    <w:rsid w:val="00A17612"/>
    <w:rsid w:val="00A222D6"/>
    <w:rsid w:val="00A2281B"/>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67A0"/>
    <w:rsid w:val="00AD7194"/>
    <w:rsid w:val="00AD7735"/>
    <w:rsid w:val="00AE27E6"/>
    <w:rsid w:val="00AE5A7A"/>
    <w:rsid w:val="00AE5A8E"/>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111"/>
    <w:rsid w:val="00BB2893"/>
    <w:rsid w:val="00BC301C"/>
    <w:rsid w:val="00BC3857"/>
    <w:rsid w:val="00BC5417"/>
    <w:rsid w:val="00BC6CC7"/>
    <w:rsid w:val="00BC756F"/>
    <w:rsid w:val="00BD0104"/>
    <w:rsid w:val="00BD1E40"/>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9E9"/>
    <w:rsid w:val="00D45D54"/>
    <w:rsid w:val="00D460C5"/>
    <w:rsid w:val="00D4761F"/>
    <w:rsid w:val="00D5040D"/>
    <w:rsid w:val="00D51420"/>
    <w:rsid w:val="00D521AF"/>
    <w:rsid w:val="00D5746C"/>
    <w:rsid w:val="00D57745"/>
    <w:rsid w:val="00D645D1"/>
    <w:rsid w:val="00D649BF"/>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B067E"/>
    <w:rsid w:val="00DB2CB9"/>
    <w:rsid w:val="00DB3763"/>
    <w:rsid w:val="00DB4758"/>
    <w:rsid w:val="00DB73AA"/>
    <w:rsid w:val="00DB7651"/>
    <w:rsid w:val="00DC19CF"/>
    <w:rsid w:val="00DC2151"/>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431"/>
    <w:rsid w:val="00E21EAD"/>
    <w:rsid w:val="00E23861"/>
    <w:rsid w:val="00E274A1"/>
    <w:rsid w:val="00E27F8A"/>
    <w:rsid w:val="00E30B48"/>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1471B"/>
    <w:rsid w:val="00F14878"/>
    <w:rsid w:val="00F1554E"/>
    <w:rsid w:val="00F16117"/>
    <w:rsid w:val="00F16358"/>
    <w:rsid w:val="00F16A94"/>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1445</Words>
  <Characters>8676</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2025-06-05T15:11:00Z</cp:lastPrinted>
  <dcterms:created xsi:type="dcterms:W3CDTF">2025-06-05T15:12:00Z</dcterms:created>
  <dcterms:modified xsi:type="dcterms:W3CDTF">2025-06-05T15:17:00Z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