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14380D4B"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FB2430">
        <w:rPr>
          <w:rFonts w:ascii="Times New Roman" w:hAnsi="Times New Roman"/>
          <w:sz w:val="20"/>
        </w:rPr>
        <w:t xml:space="preserve"> </w:t>
      </w:r>
      <w:r w:rsidR="00AF7148">
        <w:rPr>
          <w:rFonts w:ascii="Times New Roman" w:hAnsi="Times New Roman"/>
          <w:sz w:val="20"/>
        </w:rPr>
        <w:t>6</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4812BD">
        <w:rPr>
          <w:rFonts w:ascii="Times New Roman" w:hAnsi="Times New Roman"/>
          <w:sz w:val="28"/>
          <w:szCs w:val="28"/>
        </w:rPr>
        <w:tab/>
      </w:r>
      <w:r w:rsidR="00AF7148">
        <w:rPr>
          <w:rFonts w:ascii="Times New Roman" w:hAnsi="Times New Roman"/>
          <w:sz w:val="20"/>
        </w:rPr>
        <w:t>6 maja</w:t>
      </w:r>
    </w:p>
    <w:p w14:paraId="308DB886" w14:textId="1AB4E11C" w:rsidR="00283CFF" w:rsidRPr="00283CFF" w:rsidRDefault="00AF7148" w:rsidP="00283CFF">
      <w:pPr>
        <w:jc w:val="center"/>
        <w:rPr>
          <w:rFonts w:ascii="Times New Roman" w:hAnsi="Times New Roman"/>
          <w:b/>
          <w:sz w:val="24"/>
          <w:szCs w:val="24"/>
        </w:rPr>
      </w:pPr>
      <w:r>
        <w:rPr>
          <w:rFonts w:ascii="Times New Roman" w:hAnsi="Times New Roman"/>
          <w:b/>
          <w:sz w:val="24"/>
          <w:szCs w:val="24"/>
        </w:rPr>
        <w:t xml:space="preserve">GODZINA SĄDU JEGO </w:t>
      </w:r>
    </w:p>
    <w:p w14:paraId="1EB79C68" w14:textId="77777777" w:rsidR="006538E0" w:rsidRPr="00B31493" w:rsidRDefault="006538E0" w:rsidP="006538E0">
      <w:pPr>
        <w:rPr>
          <w:rFonts w:ascii="Times New Roman" w:hAnsi="Times New Roman"/>
          <w:sz w:val="20"/>
        </w:rPr>
      </w:pPr>
      <w:r w:rsidRPr="00B31493">
        <w:rPr>
          <w:rFonts w:ascii="Times New Roman" w:hAnsi="Times New Roman"/>
          <w:b/>
          <w:sz w:val="20"/>
        </w:rPr>
        <w:t>Część I: Przegląd</w:t>
      </w:r>
    </w:p>
    <w:p w14:paraId="04F7FC28" w14:textId="0750B5D5" w:rsidR="006538E0" w:rsidRPr="00B31493" w:rsidRDefault="006538E0" w:rsidP="006538E0">
      <w:pPr>
        <w:rPr>
          <w:rFonts w:ascii="Times New Roman" w:hAnsi="Times New Roman"/>
          <w:sz w:val="20"/>
        </w:rPr>
      </w:pPr>
      <w:r w:rsidRPr="00B31493">
        <w:rPr>
          <w:rFonts w:ascii="Times New Roman" w:hAnsi="Times New Roman"/>
          <w:sz w:val="20"/>
        </w:rPr>
        <w:t xml:space="preserve">Matematyka jest nauką ścisłą. W proroctwach </w:t>
      </w:r>
      <w:r w:rsidRPr="00B31493">
        <w:rPr>
          <w:rFonts w:ascii="Times New Roman" w:hAnsi="Times New Roman"/>
          <w:i/>
          <w:iCs/>
          <w:sz w:val="20"/>
        </w:rPr>
        <w:t>Księgi Daniela</w:t>
      </w:r>
      <w:r w:rsidRPr="00B31493">
        <w:rPr>
          <w:rFonts w:ascii="Times New Roman" w:hAnsi="Times New Roman"/>
          <w:sz w:val="20"/>
        </w:rPr>
        <w:t xml:space="preserve"> i </w:t>
      </w:r>
      <w:r w:rsidRPr="00B31493">
        <w:rPr>
          <w:rFonts w:ascii="Times New Roman" w:hAnsi="Times New Roman"/>
          <w:i/>
          <w:iCs/>
          <w:sz w:val="20"/>
        </w:rPr>
        <w:t>Apokalipsy Jana</w:t>
      </w:r>
      <w:r w:rsidRPr="00B31493">
        <w:rPr>
          <w:rFonts w:ascii="Times New Roman" w:hAnsi="Times New Roman"/>
          <w:sz w:val="20"/>
        </w:rPr>
        <w:t xml:space="preserve"> dotyczących sądu Duch Święty objawił prorokom konkretne matematyczne dowody, iż możemy i powinniśmy ufać Słowu Bożemu. W</w:t>
      </w:r>
      <w:r w:rsidR="00F1471B">
        <w:rPr>
          <w:rFonts w:ascii="Times New Roman" w:hAnsi="Times New Roman"/>
          <w:sz w:val="20"/>
        </w:rPr>
        <w:t> </w:t>
      </w:r>
      <w:r w:rsidRPr="00B31493">
        <w:rPr>
          <w:rFonts w:ascii="Times New Roman" w:hAnsi="Times New Roman"/>
          <w:sz w:val="20"/>
        </w:rPr>
        <w:t>lekcji bieżącego tygodnia przyjrzymy się kilku z tych dowodów.</w:t>
      </w:r>
    </w:p>
    <w:p w14:paraId="38912AC0" w14:textId="77777777" w:rsidR="006538E0" w:rsidRPr="00B31493" w:rsidRDefault="006538E0" w:rsidP="006538E0">
      <w:pPr>
        <w:rPr>
          <w:rFonts w:ascii="Times New Roman" w:hAnsi="Times New Roman"/>
          <w:sz w:val="20"/>
        </w:rPr>
      </w:pPr>
      <w:r w:rsidRPr="00B31493">
        <w:rPr>
          <w:rFonts w:ascii="Times New Roman" w:hAnsi="Times New Roman"/>
          <w:sz w:val="20"/>
        </w:rPr>
        <w:t xml:space="preserve">Dn 9 to jeden z najbardziej niezwykłych rozdziałów </w:t>
      </w:r>
      <w:r w:rsidRPr="00B31493">
        <w:rPr>
          <w:rFonts w:ascii="Times New Roman" w:hAnsi="Times New Roman"/>
          <w:i/>
          <w:iCs/>
          <w:sz w:val="20"/>
        </w:rPr>
        <w:t>Biblii</w:t>
      </w:r>
      <w:r w:rsidRPr="00B31493">
        <w:rPr>
          <w:rFonts w:ascii="Times New Roman" w:hAnsi="Times New Roman"/>
          <w:sz w:val="20"/>
        </w:rPr>
        <w:t>. Wyraźnie ukazuje czas rozpoczęcia misji Mesjasza, Jego śmierci na krzyżu oraz początku głoszenia ewangelii wśród pogan. Proroctwo to nie zostało podane w sposób pobieżny czy mglisty, ale precyzyjnie i wyraźnie. Pod wpływem wyrazistości i wagi tego proroctwa wielu sceptyków stało się poświęconymi wyznawcami Jezusa.</w:t>
      </w:r>
    </w:p>
    <w:p w14:paraId="3421E5A3" w14:textId="523EB093" w:rsidR="006538E0" w:rsidRPr="00B31493" w:rsidRDefault="006538E0" w:rsidP="006538E0">
      <w:pPr>
        <w:rPr>
          <w:rFonts w:ascii="Times New Roman" w:hAnsi="Times New Roman"/>
          <w:sz w:val="20"/>
        </w:rPr>
      </w:pPr>
      <w:r w:rsidRPr="00B31493">
        <w:rPr>
          <w:rFonts w:ascii="Times New Roman" w:hAnsi="Times New Roman"/>
          <w:sz w:val="20"/>
        </w:rPr>
        <w:t>Dn 9 to odpowiedź Nieba na niezrozumienie przez Daniela niektórych elementów wizji z Dn 8: „B</w:t>
      </w:r>
      <w:r w:rsidRPr="00B31493">
        <w:rPr>
          <w:rFonts w:ascii="Times New Roman" w:hAnsi="Times New Roman"/>
          <w:color w:val="000000"/>
          <w:sz w:val="20"/>
        </w:rPr>
        <w:t>yłem jednak zaniepokojony widzeniem i nie rozumiałem go</w:t>
      </w:r>
      <w:r w:rsidRPr="00B31493">
        <w:rPr>
          <w:rFonts w:ascii="Times New Roman" w:hAnsi="Times New Roman"/>
          <w:sz w:val="20"/>
        </w:rPr>
        <w:t>” (Dn 8,27). Wizja w Dn 8 jest wizją zapowiadającą zdominowanie Medo-Persji przez Grecję przedstawione w starciu barana z kozłem. Mały róg (papieski Rzym) wyrósł z jednej stron świata, na które podzieliło się imperium greckie, a następnie zdominował scenę polityczną i</w:t>
      </w:r>
      <w:r w:rsidR="00F1471B">
        <w:rPr>
          <w:rFonts w:ascii="Times New Roman" w:hAnsi="Times New Roman"/>
          <w:sz w:val="20"/>
        </w:rPr>
        <w:t> </w:t>
      </w:r>
      <w:r w:rsidRPr="00B31493">
        <w:rPr>
          <w:rFonts w:ascii="Times New Roman" w:hAnsi="Times New Roman"/>
          <w:sz w:val="20"/>
        </w:rPr>
        <w:t>religijną. Z czasem potęga małego rogu usiłowała wypaczyć prawdę o Jezusie, tak iż według Dn 8,12 „</w:t>
      </w:r>
      <w:r w:rsidRPr="00B31493">
        <w:rPr>
          <w:rFonts w:ascii="Times New Roman" w:hAnsi="Times New Roman"/>
          <w:color w:val="000000"/>
          <w:sz w:val="20"/>
        </w:rPr>
        <w:t>prawda została powalona na ziemię</w:t>
      </w:r>
      <w:r w:rsidRPr="00B31493">
        <w:rPr>
          <w:rFonts w:ascii="Times New Roman" w:hAnsi="Times New Roman"/>
          <w:sz w:val="20"/>
        </w:rPr>
        <w:t xml:space="preserve">”. Następnie Daniel usłyszał anioła pytającego: „Jak długo?” </w:t>
      </w:r>
      <w:r w:rsidRPr="00B31493">
        <w:rPr>
          <w:rFonts w:ascii="Times New Roman" w:hAnsi="Times New Roman"/>
          <w:iCs/>
          <w:sz w:val="20"/>
        </w:rPr>
        <w:t xml:space="preserve">(Dn 8,13) </w:t>
      </w:r>
      <w:r w:rsidRPr="00B31493">
        <w:rPr>
          <w:rFonts w:ascii="Times New Roman" w:hAnsi="Times New Roman"/>
          <w:sz w:val="20"/>
        </w:rPr>
        <w:t>- jak długo fałsz będzie triumfował? Jak długo zło będzie panować? Kiedy prawdzie zostanie oddane jej właściwie miejsce wśród ludu Bożego? Kiedy zapanuje sprawiedliwość i skończy się nikczemność? Odpowiedź jest zawarta w</w:t>
      </w:r>
      <w:r w:rsidR="00F1471B">
        <w:rPr>
          <w:rFonts w:ascii="Times New Roman" w:hAnsi="Times New Roman"/>
          <w:sz w:val="20"/>
        </w:rPr>
        <w:t> </w:t>
      </w:r>
      <w:r w:rsidRPr="00B31493">
        <w:rPr>
          <w:rFonts w:ascii="Times New Roman" w:hAnsi="Times New Roman"/>
          <w:sz w:val="20"/>
        </w:rPr>
        <w:t>Dn 8,14: „Aż do wieczora i do poranku dni dwa tysiące trzysta, a będzie oczyszczona świątynia” (BJW).</w:t>
      </w:r>
    </w:p>
    <w:p w14:paraId="1373688C" w14:textId="77777777" w:rsidR="006538E0" w:rsidRPr="00B31493" w:rsidRDefault="006538E0" w:rsidP="006538E0">
      <w:pPr>
        <w:rPr>
          <w:rFonts w:ascii="Times New Roman" w:hAnsi="Times New Roman"/>
          <w:sz w:val="20"/>
        </w:rPr>
      </w:pPr>
    </w:p>
    <w:p w14:paraId="4D7E7D87" w14:textId="77777777" w:rsidR="006538E0" w:rsidRPr="00B31493" w:rsidRDefault="006538E0" w:rsidP="006538E0">
      <w:pPr>
        <w:rPr>
          <w:rFonts w:ascii="Times New Roman" w:hAnsi="Times New Roman"/>
          <w:sz w:val="20"/>
        </w:rPr>
      </w:pPr>
      <w:r w:rsidRPr="00B31493">
        <w:rPr>
          <w:rFonts w:ascii="Times New Roman" w:hAnsi="Times New Roman"/>
          <w:b/>
          <w:sz w:val="20"/>
        </w:rPr>
        <w:t>Część II: Komentarz</w:t>
      </w:r>
    </w:p>
    <w:p w14:paraId="08A28681" w14:textId="77777777" w:rsidR="006538E0" w:rsidRPr="00B31493" w:rsidRDefault="006538E0" w:rsidP="006538E0">
      <w:pPr>
        <w:rPr>
          <w:rFonts w:ascii="Times New Roman" w:hAnsi="Times New Roman"/>
          <w:sz w:val="20"/>
        </w:rPr>
      </w:pPr>
      <w:r w:rsidRPr="00B31493">
        <w:rPr>
          <w:rFonts w:ascii="Times New Roman" w:hAnsi="Times New Roman"/>
          <w:sz w:val="20"/>
        </w:rPr>
        <w:t xml:space="preserve">Hebrajskie słowo przetłumaczone jako „oczyszczona” w Dn 8,14 to </w:t>
      </w:r>
      <w:r w:rsidRPr="00B31493">
        <w:rPr>
          <w:rFonts w:ascii="Times New Roman" w:hAnsi="Times New Roman"/>
          <w:i/>
          <w:iCs/>
          <w:sz w:val="20"/>
        </w:rPr>
        <w:t>nisdaq</w:t>
      </w:r>
      <w:r w:rsidRPr="00B31493">
        <w:rPr>
          <w:rFonts w:ascii="Times New Roman" w:hAnsi="Times New Roman"/>
          <w:sz w:val="20"/>
        </w:rPr>
        <w:t xml:space="preserve">. Słowo to jest różnie przekładane - „przywrócona”, „naprawiona”, „oczyszczona”, „usprawiedliwiona”, „uniewinniona”. Hebrajskie słowo </w:t>
      </w:r>
      <w:r w:rsidRPr="00B31493">
        <w:rPr>
          <w:rFonts w:ascii="Times New Roman" w:hAnsi="Times New Roman"/>
          <w:i/>
          <w:iCs/>
          <w:sz w:val="20"/>
        </w:rPr>
        <w:t>nisdaq</w:t>
      </w:r>
      <w:r w:rsidRPr="00B31493">
        <w:rPr>
          <w:rFonts w:ascii="Times New Roman" w:hAnsi="Times New Roman"/>
          <w:sz w:val="20"/>
        </w:rPr>
        <w:t xml:space="preserve"> przypuszczalnie obejmuje wszystkie te znaczenia.</w:t>
      </w:r>
    </w:p>
    <w:p w14:paraId="5E0EA9E6" w14:textId="77777777" w:rsidR="006538E0" w:rsidRPr="00B31493" w:rsidRDefault="006538E0" w:rsidP="006538E0">
      <w:pPr>
        <w:rPr>
          <w:rFonts w:ascii="Times New Roman" w:hAnsi="Times New Roman"/>
          <w:sz w:val="20"/>
        </w:rPr>
      </w:pPr>
      <w:r w:rsidRPr="00B31493">
        <w:rPr>
          <w:rFonts w:ascii="Times New Roman" w:hAnsi="Times New Roman"/>
          <w:sz w:val="20"/>
        </w:rPr>
        <w:t xml:space="preserve">Wolne tłumaczenie Dn 8,13-14 mogłoby brzmieć następująco: „Kiedy świątynia zostanie przywrócona na jej właściwe miejsce, kiedy zostanie oczyszczona z grzechu, kiedy imię Boga zostanie oczyszczone z zarzutów, prawda wywyższona i wszystko zostanie naprawione?”. Anioł odpowiada: „Aż do wieczora i do poranku dni dwa tysiące trzysta, a będzie oczyszczona świątynia” (Dn 8,14 BJW). Pełna odpowiedź na to pytanie nie jest zawarta w Dn 8. Pod koniec rozdziału, kiedy anioł wyjaśnia wizję Danielowi, prorok traci przytomność </w:t>
      </w:r>
      <w:r w:rsidRPr="00B31493">
        <w:rPr>
          <w:rFonts w:ascii="Times New Roman" w:hAnsi="Times New Roman"/>
          <w:iCs/>
          <w:sz w:val="20"/>
        </w:rPr>
        <w:t>(Dn 8,27)</w:t>
      </w:r>
      <w:r w:rsidRPr="00B31493">
        <w:rPr>
          <w:rFonts w:ascii="Times New Roman" w:hAnsi="Times New Roman"/>
          <w:sz w:val="20"/>
        </w:rPr>
        <w:t xml:space="preserve">. Mijają lata. Wreszcie w Dn 9 prorok modli się o zrozumienie, a anioł powraca, by wyłożyć mu nieobjaśnioną wcześniej część wizji </w:t>
      </w:r>
      <w:r w:rsidRPr="00B31493">
        <w:rPr>
          <w:rFonts w:ascii="Times New Roman" w:hAnsi="Times New Roman"/>
          <w:iCs/>
          <w:sz w:val="20"/>
        </w:rPr>
        <w:t>(Dn 9,20)</w:t>
      </w:r>
      <w:r w:rsidRPr="00B31493">
        <w:rPr>
          <w:rFonts w:ascii="Times New Roman" w:hAnsi="Times New Roman"/>
          <w:sz w:val="20"/>
        </w:rPr>
        <w:t>. W Dn 9,24 anioł mówi: „</w:t>
      </w:r>
      <w:r w:rsidRPr="00B31493">
        <w:rPr>
          <w:rFonts w:ascii="Times New Roman" w:hAnsi="Times New Roman"/>
          <w:color w:val="000000"/>
          <w:sz w:val="20"/>
        </w:rPr>
        <w:t>Siedemdziesiąt tygodni wyznaczono twojemu ludowi</w:t>
      </w:r>
      <w:r w:rsidRPr="00B31493">
        <w:rPr>
          <w:rFonts w:ascii="Times New Roman" w:hAnsi="Times New Roman"/>
          <w:sz w:val="20"/>
        </w:rPr>
        <w:t>”.</w:t>
      </w:r>
    </w:p>
    <w:p w14:paraId="7398CEBE" w14:textId="77777777" w:rsidR="006538E0" w:rsidRPr="00B31493" w:rsidRDefault="006538E0" w:rsidP="006538E0">
      <w:pPr>
        <w:rPr>
          <w:rFonts w:ascii="Times New Roman" w:hAnsi="Times New Roman"/>
          <w:sz w:val="20"/>
        </w:rPr>
      </w:pPr>
      <w:r w:rsidRPr="00B31493">
        <w:rPr>
          <w:rFonts w:ascii="Times New Roman" w:hAnsi="Times New Roman"/>
          <w:sz w:val="20"/>
        </w:rPr>
        <w:t xml:space="preserve">Siedemdziesiąt tygodni w Dn 9 zostało „wyznaczone” z dłuższego okresu 2300 dni w Dn 8,14. Hebrajskie słowo przetłumaczone jako „wyznaczono” występuje tylko raz w </w:t>
      </w:r>
      <w:r w:rsidRPr="00B31493">
        <w:rPr>
          <w:rFonts w:ascii="Times New Roman" w:hAnsi="Times New Roman"/>
          <w:i/>
          <w:iCs/>
          <w:sz w:val="20"/>
        </w:rPr>
        <w:t>Starym Testamencie</w:t>
      </w:r>
      <w:r w:rsidRPr="00B31493">
        <w:rPr>
          <w:rFonts w:ascii="Times New Roman" w:hAnsi="Times New Roman"/>
          <w:sz w:val="20"/>
        </w:rPr>
        <w:t xml:space="preserve">, właśnie w Dn 9. Dosłownie można je przetłumaczyć jako „odcięto”. Rabini posługiwali się tym słowem mówiąc o odcięciu czy oddzieleniu czegoś - w tym przypadku krótszego okresu z większej całości. Chodzi tu właśnie o oddzielenie. W proroctwie tym wskazana została przyszłość narodu izraelskiego, świątyni i Jerozolimy. Siedemdziesiąt tygodni miało być czasem próby i przywrócenia Izraelowi pełni Bożej przychylności. W tym czasie miał przyjść Mesjasza, by „przywrócić wieczną sprawiedliwość” </w:t>
      </w:r>
      <w:r w:rsidRPr="00B31493">
        <w:rPr>
          <w:rFonts w:ascii="Times New Roman" w:hAnsi="Times New Roman"/>
          <w:iCs/>
          <w:sz w:val="20"/>
        </w:rPr>
        <w:t>(Dn 9,24)</w:t>
      </w:r>
      <w:r w:rsidRPr="00B31493">
        <w:rPr>
          <w:rFonts w:ascii="Times New Roman" w:hAnsi="Times New Roman"/>
          <w:sz w:val="20"/>
        </w:rPr>
        <w:t>.</w:t>
      </w:r>
    </w:p>
    <w:p w14:paraId="48404855" w14:textId="77777777" w:rsidR="006538E0" w:rsidRPr="00B31493" w:rsidRDefault="006538E0" w:rsidP="006538E0">
      <w:pPr>
        <w:rPr>
          <w:rFonts w:ascii="Times New Roman" w:hAnsi="Times New Roman"/>
          <w:sz w:val="20"/>
        </w:rPr>
      </w:pPr>
      <w:r w:rsidRPr="00B31493">
        <w:rPr>
          <w:rFonts w:ascii="Times New Roman" w:hAnsi="Times New Roman"/>
          <w:sz w:val="20"/>
        </w:rPr>
        <w:t xml:space="preserve">Możemy zadać pytanie: Jakie dowody mamy w samym tekście, że „siedemdziesiąt tygodni” należy rozumieć nie jako rzeczywistego tygodnie czyli 490 rzeczywistych dni? Hebrajskie wyrażenie przetłumaczone jako „tygodnie” oznacza także grupy dni i może być przetłumaczone jako „siedemdziesiąt siódemek”. Ponieważ przepowiedziane wydarzenia wyraźnie miały się rozegrać na przestrzeni wielu lat, a więc znacznie dłuższej niż 490 dosłownych dni, bo w ciągu kilku stuleci, okres ten należy rozumieć stosownie do zasady „dzień za rok” </w:t>
      </w:r>
      <w:r w:rsidRPr="00B31493">
        <w:rPr>
          <w:rFonts w:ascii="Times New Roman" w:hAnsi="Times New Roman"/>
          <w:iCs/>
          <w:sz w:val="20"/>
        </w:rPr>
        <w:t>(Ez 4,6; Lb 14,34)</w:t>
      </w:r>
      <w:r w:rsidRPr="00B31493">
        <w:rPr>
          <w:rFonts w:ascii="Times New Roman" w:hAnsi="Times New Roman"/>
          <w:sz w:val="20"/>
        </w:rPr>
        <w:t>, według której proroczy „dzień” oznacza dosłowny rok.</w:t>
      </w:r>
    </w:p>
    <w:p w14:paraId="6523C1B7" w14:textId="77777777" w:rsidR="006538E0" w:rsidRPr="00B31493" w:rsidRDefault="006538E0" w:rsidP="006538E0">
      <w:pPr>
        <w:rPr>
          <w:rFonts w:ascii="Times New Roman" w:hAnsi="Times New Roman"/>
          <w:sz w:val="20"/>
        </w:rPr>
      </w:pPr>
      <w:r w:rsidRPr="00B31493">
        <w:rPr>
          <w:rFonts w:ascii="Times New Roman" w:hAnsi="Times New Roman"/>
          <w:sz w:val="20"/>
        </w:rPr>
        <w:t>Gerhard Pfandl z adwentystycznego Instytutu Badań Biblijnych w ciekawy sposób skomentował Lb 14,34: „Bóg celowo posłużył się zasadą »dzień za rok« jako środkiem dydaktycznym: »</w:t>
      </w:r>
      <w:r w:rsidRPr="00B31493">
        <w:rPr>
          <w:rFonts w:ascii="Times New Roman" w:hAnsi="Times New Roman"/>
          <w:color w:val="000000"/>
          <w:sz w:val="20"/>
        </w:rPr>
        <w:t>Według liczby dni, w ciągu których badaliście tę ziemię, a było ich czterdzieści, dzień licząc za rok, będziecie ponosić karę za wasze winy przez czterdzieści lat i doznacie mojej niechęci</w:t>
      </w:r>
      <w:r w:rsidRPr="00B31493">
        <w:rPr>
          <w:rFonts w:ascii="Times New Roman" w:hAnsi="Times New Roman"/>
          <w:sz w:val="20"/>
        </w:rPr>
        <w:t>« (Lb 14,34). W ramach wizualnej przypowieści prorok Ezechiel miał leżeć przez 390 dni na lewym boku, a następnie przez 40 dni na prawym boku. »W</w:t>
      </w:r>
      <w:r w:rsidRPr="00B31493">
        <w:rPr>
          <w:rFonts w:ascii="Times New Roman" w:hAnsi="Times New Roman"/>
          <w:color w:val="000000"/>
          <w:sz w:val="20"/>
        </w:rPr>
        <w:t>yznaczam ci po jednym dniu za każdy rok</w:t>
      </w:r>
      <w:r w:rsidRPr="00B31493">
        <w:rPr>
          <w:rFonts w:ascii="Times New Roman" w:hAnsi="Times New Roman"/>
          <w:sz w:val="20"/>
        </w:rPr>
        <w:t>« (Ez 4,6). Jednakowoż Lb 14 i Ez 4 nie są tekstami apokaliptycznymi. Dlatego Bóg mówi wyraźnie, że jeden dzień symbolizuje jeden rok. W apokaliptycznych tekstach nie trzeba tego mówić, gdyż rozumie się to samo przez się jako podstawowa zasada” (Gerhard Pfandl, „</w:t>
      </w:r>
      <w:r w:rsidRPr="00B31493">
        <w:rPr>
          <w:rFonts w:ascii="Times New Roman" w:hAnsi="Times New Roman"/>
          <w:iCs/>
          <w:sz w:val="20"/>
        </w:rPr>
        <w:t>Journal of the Adventist Theological Society”</w:t>
      </w:r>
      <w:r w:rsidRPr="00B31493">
        <w:rPr>
          <w:rFonts w:ascii="Times New Roman" w:hAnsi="Times New Roman"/>
          <w:sz w:val="20"/>
        </w:rPr>
        <w:t xml:space="preserve">, t. 23, 1/2012, s. 9). Ta zasada ma zastosowanie w proroctwach </w:t>
      </w:r>
      <w:r w:rsidRPr="00B31493">
        <w:rPr>
          <w:rFonts w:ascii="Times New Roman" w:hAnsi="Times New Roman"/>
          <w:i/>
          <w:iCs/>
          <w:sz w:val="20"/>
        </w:rPr>
        <w:t>Księgi Daniela</w:t>
      </w:r>
      <w:r w:rsidRPr="00B31493">
        <w:rPr>
          <w:rFonts w:ascii="Times New Roman" w:hAnsi="Times New Roman"/>
          <w:sz w:val="20"/>
        </w:rPr>
        <w:t xml:space="preserve"> i </w:t>
      </w:r>
      <w:r w:rsidRPr="00B31493">
        <w:rPr>
          <w:rFonts w:ascii="Times New Roman" w:hAnsi="Times New Roman"/>
          <w:i/>
          <w:iCs/>
          <w:sz w:val="20"/>
        </w:rPr>
        <w:t>Apokalipsy Jana</w:t>
      </w:r>
      <w:r w:rsidRPr="00B31493">
        <w:rPr>
          <w:rFonts w:ascii="Times New Roman" w:hAnsi="Times New Roman"/>
          <w:sz w:val="20"/>
        </w:rPr>
        <w:t xml:space="preserve"> odnoszących się do czasu. Kiedy zastosujemy zasadę, iż proroczy dzień oznacza rzeczywisty rok, proroctwo staje się zrozumiałe. Wydarzenia historyczne perfekcyjnie pasują do wyznaczonej proroczej linii czasu.</w:t>
      </w:r>
    </w:p>
    <w:p w14:paraId="27CB6558" w14:textId="5152920C" w:rsidR="006538E0" w:rsidRPr="00B31493" w:rsidRDefault="006538E0" w:rsidP="006538E0">
      <w:pPr>
        <w:rPr>
          <w:rFonts w:ascii="Times New Roman" w:hAnsi="Times New Roman"/>
          <w:sz w:val="20"/>
        </w:rPr>
      </w:pPr>
      <w:r w:rsidRPr="00B31493">
        <w:rPr>
          <w:rFonts w:ascii="Times New Roman" w:hAnsi="Times New Roman"/>
          <w:sz w:val="20"/>
        </w:rPr>
        <w:t>Siedemdziesiąt tygodni w Dn 9,24-25 oznacza 490 rzeczywistych lat. Okres ten rozpoczyna się wraz z</w:t>
      </w:r>
      <w:r w:rsidR="00F1471B">
        <w:rPr>
          <w:rFonts w:ascii="Times New Roman" w:hAnsi="Times New Roman"/>
          <w:sz w:val="20"/>
        </w:rPr>
        <w:t> </w:t>
      </w:r>
      <w:r w:rsidRPr="00B31493">
        <w:rPr>
          <w:rFonts w:ascii="Times New Roman" w:hAnsi="Times New Roman"/>
          <w:sz w:val="20"/>
        </w:rPr>
        <w:t xml:space="preserve">wydaniem dekretu o odbudowie Jerozolimy. Kiedy Babilon został pokonany przez Medów i Persów, nowi władcy wydali trzy kolejne dekrety pozwalające Judejczykom opuścić Babilonię i wrócić do Judy. Pierwsze dwa dekrety, wydane przez Cyrusa </w:t>
      </w:r>
      <w:r w:rsidRPr="00B31493">
        <w:rPr>
          <w:rFonts w:ascii="Times New Roman" w:hAnsi="Times New Roman"/>
          <w:iCs/>
          <w:sz w:val="20"/>
        </w:rPr>
        <w:t xml:space="preserve">(Ezd 1,1-4) </w:t>
      </w:r>
      <w:r w:rsidRPr="00B31493">
        <w:rPr>
          <w:rFonts w:ascii="Times New Roman" w:hAnsi="Times New Roman"/>
          <w:sz w:val="20"/>
        </w:rPr>
        <w:t xml:space="preserve">i Dariusza </w:t>
      </w:r>
      <w:r w:rsidRPr="00B31493">
        <w:rPr>
          <w:rFonts w:ascii="Times New Roman" w:hAnsi="Times New Roman"/>
          <w:iCs/>
          <w:sz w:val="20"/>
        </w:rPr>
        <w:t>(Ezd 6,1-12)</w:t>
      </w:r>
      <w:r w:rsidRPr="00B31493">
        <w:rPr>
          <w:rFonts w:ascii="Times New Roman" w:hAnsi="Times New Roman"/>
          <w:sz w:val="20"/>
        </w:rPr>
        <w:t xml:space="preserve">, nie w pełni zezwalały na odbudowę Jerozolimy i świątyni oraz przywrócenie izraelskiego systemu sądowego. Ostatni z trzech dekretów, wydany przez </w:t>
      </w:r>
      <w:r w:rsidRPr="00B31493">
        <w:rPr>
          <w:rFonts w:ascii="Times New Roman" w:hAnsi="Times New Roman"/>
          <w:sz w:val="20"/>
        </w:rPr>
        <w:lastRenderedPageBreak/>
        <w:t>Artakserksesa w 457 roku p.n.e., nie tylko pozwalał Izraelitom wrócić do ojczyzny, ale także zapewniał środki na ten cel i przywracał Jerozolimie status ośrodka władzy cywilnej, sądowniczej i religijnej.</w:t>
      </w:r>
    </w:p>
    <w:p w14:paraId="40FBAEF8" w14:textId="77777777" w:rsidR="006538E0" w:rsidRPr="00B31493" w:rsidRDefault="006538E0" w:rsidP="006538E0">
      <w:pPr>
        <w:rPr>
          <w:rFonts w:ascii="Times New Roman" w:hAnsi="Times New Roman"/>
          <w:sz w:val="20"/>
        </w:rPr>
      </w:pPr>
    </w:p>
    <w:p w14:paraId="12743D4F" w14:textId="77777777" w:rsidR="006538E0" w:rsidRPr="00B31493" w:rsidRDefault="006538E0" w:rsidP="006538E0">
      <w:pPr>
        <w:rPr>
          <w:rFonts w:ascii="Times New Roman" w:hAnsi="Times New Roman"/>
          <w:sz w:val="20"/>
        </w:rPr>
      </w:pPr>
      <w:r w:rsidRPr="00B31493">
        <w:rPr>
          <w:rFonts w:ascii="Times New Roman" w:hAnsi="Times New Roman"/>
          <w:b/>
          <w:bCs/>
          <w:sz w:val="20"/>
        </w:rPr>
        <w:t>Prorocza linia czasu</w:t>
      </w:r>
    </w:p>
    <w:p w14:paraId="1060B1AE" w14:textId="5847D61B" w:rsidR="006538E0" w:rsidRPr="00B31493" w:rsidRDefault="006538E0" w:rsidP="006538E0">
      <w:pPr>
        <w:rPr>
          <w:rFonts w:ascii="Times New Roman" w:hAnsi="Times New Roman"/>
          <w:sz w:val="20"/>
        </w:rPr>
      </w:pPr>
      <w:r w:rsidRPr="00B31493">
        <w:rPr>
          <w:rFonts w:ascii="Times New Roman" w:hAnsi="Times New Roman"/>
          <w:sz w:val="20"/>
        </w:rPr>
        <w:t>Począwszy od 457 roku p.n.e. proroctwo prowadzi nas przez wieki w ramach 69 z 70 tygodni czyli 483 lata sięgającego do 27 roku n.e. Według proroctwa ten proroczy okres miał zostać zwieńczony rozpoczęciem misji Pomazańca-Księcia. „Pomazaniec” to inaczej „Namaszczony” czyli „Mesjasz”. W 27 roku n.e. (15</w:t>
      </w:r>
      <w:r w:rsidR="00F1471B">
        <w:rPr>
          <w:rFonts w:ascii="Times New Roman" w:hAnsi="Times New Roman"/>
          <w:sz w:val="20"/>
        </w:rPr>
        <w:t xml:space="preserve"> </w:t>
      </w:r>
      <w:r w:rsidRPr="00B31493">
        <w:rPr>
          <w:rFonts w:ascii="Times New Roman" w:hAnsi="Times New Roman"/>
          <w:sz w:val="20"/>
        </w:rPr>
        <w:t xml:space="preserve">roku panowania cesarza Tyberiusza) Jezus Chrystus, Mesjasz, został ochrzczony czyli namaszczony do swej misji </w:t>
      </w:r>
      <w:r w:rsidRPr="00B31493">
        <w:rPr>
          <w:rFonts w:ascii="Times New Roman" w:hAnsi="Times New Roman"/>
          <w:iCs/>
          <w:sz w:val="20"/>
        </w:rPr>
        <w:t>(Łk 3,1-3.15-16.21-22)</w:t>
      </w:r>
      <w:r w:rsidRPr="00B31493">
        <w:rPr>
          <w:rFonts w:ascii="Times New Roman" w:hAnsi="Times New Roman"/>
          <w:sz w:val="20"/>
        </w:rPr>
        <w:t>, właśnie tak jak zostało to przepowiedziane.</w:t>
      </w:r>
    </w:p>
    <w:p w14:paraId="688D199B" w14:textId="77777777" w:rsidR="006538E0" w:rsidRPr="00B31493" w:rsidRDefault="006538E0" w:rsidP="006538E0">
      <w:pPr>
        <w:rPr>
          <w:rFonts w:ascii="Times New Roman" w:hAnsi="Times New Roman"/>
          <w:sz w:val="20"/>
        </w:rPr>
      </w:pPr>
    </w:p>
    <w:p w14:paraId="081C2E65" w14:textId="77777777" w:rsidR="006538E0" w:rsidRPr="00B31493" w:rsidRDefault="006538E0" w:rsidP="006538E0">
      <w:pPr>
        <w:rPr>
          <w:rFonts w:ascii="Times New Roman" w:hAnsi="Times New Roman"/>
          <w:b/>
          <w:sz w:val="20"/>
        </w:rPr>
      </w:pPr>
      <w:r w:rsidRPr="00B31493">
        <w:rPr>
          <w:rFonts w:ascii="Times New Roman" w:hAnsi="Times New Roman"/>
          <w:b/>
          <w:sz w:val="20"/>
        </w:rPr>
        <w:t>Mesjasz zabity w połowie tygodnia</w:t>
      </w:r>
    </w:p>
    <w:p w14:paraId="3C2C9F6D" w14:textId="77777777" w:rsidR="006538E0" w:rsidRPr="00B31493" w:rsidRDefault="006538E0" w:rsidP="006538E0">
      <w:pPr>
        <w:rPr>
          <w:rFonts w:ascii="Times New Roman" w:hAnsi="Times New Roman"/>
          <w:sz w:val="20"/>
        </w:rPr>
      </w:pPr>
      <w:r w:rsidRPr="00B31493">
        <w:rPr>
          <w:rFonts w:ascii="Times New Roman" w:hAnsi="Times New Roman"/>
          <w:i/>
          <w:iCs/>
          <w:sz w:val="20"/>
        </w:rPr>
        <w:t>Księga Daniela</w:t>
      </w:r>
      <w:r w:rsidRPr="00B31493">
        <w:rPr>
          <w:rFonts w:ascii="Times New Roman" w:hAnsi="Times New Roman"/>
          <w:sz w:val="20"/>
        </w:rPr>
        <w:t xml:space="preserve"> z wielowiekowym wyprzedzeniem wskazuje rok rozpoczęcia misji Chrystusa. Gabriel dalej objaśniał Danielowi wydarzenia związane z Chrystusem. Jak podkreśliliśmy w lekcji bieżącego tygodnia, Mesjasz miał zostać „zabity” czyli ukrzyżowany w połowie ostatniego z siedemdziesięciu „tygodni”. Jezus został ukrzyżowany w 31 roku n.e., tak jak zostało to przepowiedziane w </w:t>
      </w:r>
      <w:r w:rsidRPr="00B31493">
        <w:rPr>
          <w:rFonts w:ascii="Times New Roman" w:hAnsi="Times New Roman"/>
          <w:i/>
          <w:iCs/>
          <w:sz w:val="20"/>
        </w:rPr>
        <w:t>Księdze Daniela</w:t>
      </w:r>
      <w:r w:rsidRPr="00B31493">
        <w:rPr>
          <w:rFonts w:ascii="Times New Roman" w:hAnsi="Times New Roman"/>
          <w:sz w:val="20"/>
        </w:rPr>
        <w:t>.</w:t>
      </w:r>
    </w:p>
    <w:p w14:paraId="16ECDE0F" w14:textId="77777777" w:rsidR="006538E0" w:rsidRPr="00B31493" w:rsidRDefault="006538E0" w:rsidP="006538E0">
      <w:pPr>
        <w:rPr>
          <w:rFonts w:ascii="Times New Roman" w:hAnsi="Times New Roman"/>
          <w:sz w:val="20"/>
        </w:rPr>
      </w:pPr>
      <w:r w:rsidRPr="00B31493">
        <w:rPr>
          <w:rFonts w:ascii="Times New Roman" w:hAnsi="Times New Roman"/>
          <w:sz w:val="20"/>
        </w:rPr>
        <w:t xml:space="preserve">Zgodnie z wyjaśnieniem udzielonym Danielowi przez Gabriela, Boże przymierze z narodem izraelskim miało dobiec końca wraz z wypełnieniem siedemdziesięciu proroczych tygodni czyli w 34 roku n.e. Od tej pory Boże przymierze zostało zaoferowane wszystkim - w tym oczywiście Izraelitom, ale także poganom </w:t>
      </w:r>
      <w:r w:rsidRPr="00B31493">
        <w:rPr>
          <w:rFonts w:ascii="Times New Roman" w:hAnsi="Times New Roman"/>
          <w:iCs/>
          <w:sz w:val="20"/>
        </w:rPr>
        <w:t xml:space="preserve">(zob. Rz 1,16; Rz 2,6.10) </w:t>
      </w:r>
      <w:r w:rsidRPr="00B31493">
        <w:rPr>
          <w:rFonts w:ascii="Times New Roman" w:hAnsi="Times New Roman"/>
          <w:sz w:val="20"/>
        </w:rPr>
        <w:t>- którzy przyjmują Jezusa jako swego Zbawiciela.</w:t>
      </w:r>
    </w:p>
    <w:p w14:paraId="180FA78A" w14:textId="77777777" w:rsidR="006538E0" w:rsidRPr="00B31493" w:rsidRDefault="006538E0" w:rsidP="006538E0">
      <w:pPr>
        <w:rPr>
          <w:rFonts w:ascii="Times New Roman" w:hAnsi="Times New Roman"/>
          <w:sz w:val="20"/>
        </w:rPr>
      </w:pPr>
      <w:r w:rsidRPr="00B31493">
        <w:rPr>
          <w:rFonts w:ascii="Times New Roman" w:hAnsi="Times New Roman"/>
          <w:sz w:val="20"/>
        </w:rPr>
        <w:t xml:space="preserve">Rytuał świątynny był lekcją poglądową zapowiadającą ofiarę Jezusa i ukazującą plan zbawienia. Kiedy Jezus umarł na krzyżu, rytuał ten zachował swoje symboliczne znaczenie, ale stracił obowiązującą moc, gdyż wypełnił swój cel. Od tej pory grzesznicy nie potrzebowali już symbolicznych ofiar składanych w świątyni - mogli przyjść bezpośrednio do Jezusa i przyjąć Jego krew jako ofiarę za ich grzechy. Jezus jest Barankiem Bożym zabitym za nas w czasie precyzyjnie przepowiedzianym w </w:t>
      </w:r>
      <w:r w:rsidRPr="00B31493">
        <w:rPr>
          <w:rFonts w:ascii="Times New Roman" w:hAnsi="Times New Roman"/>
          <w:i/>
          <w:iCs/>
          <w:sz w:val="20"/>
        </w:rPr>
        <w:t>Biblii</w:t>
      </w:r>
      <w:r w:rsidRPr="00B31493">
        <w:rPr>
          <w:rFonts w:ascii="Times New Roman" w:hAnsi="Times New Roman"/>
          <w:sz w:val="20"/>
        </w:rPr>
        <w:t>.</w:t>
      </w:r>
    </w:p>
    <w:p w14:paraId="2B9B148D" w14:textId="77777777" w:rsidR="006538E0" w:rsidRPr="00B31493" w:rsidRDefault="006538E0" w:rsidP="006538E0">
      <w:pPr>
        <w:rPr>
          <w:rFonts w:ascii="Times New Roman" w:hAnsi="Times New Roman"/>
          <w:sz w:val="20"/>
        </w:rPr>
      </w:pPr>
    </w:p>
    <w:p w14:paraId="777040A2" w14:textId="77777777" w:rsidR="006538E0" w:rsidRPr="00B31493" w:rsidRDefault="006538E0" w:rsidP="006538E0">
      <w:pPr>
        <w:rPr>
          <w:rFonts w:ascii="Times New Roman" w:hAnsi="Times New Roman"/>
          <w:sz w:val="20"/>
        </w:rPr>
      </w:pPr>
      <w:r w:rsidRPr="00B31493">
        <w:rPr>
          <w:rFonts w:ascii="Times New Roman" w:hAnsi="Times New Roman"/>
          <w:b/>
          <w:bCs/>
          <w:sz w:val="20"/>
        </w:rPr>
        <w:t>Pozostała część 2300 lat</w:t>
      </w:r>
    </w:p>
    <w:p w14:paraId="286C77C5" w14:textId="77777777" w:rsidR="006538E0" w:rsidRPr="00B31493" w:rsidRDefault="006538E0" w:rsidP="006538E0">
      <w:pPr>
        <w:rPr>
          <w:rFonts w:ascii="Times New Roman" w:hAnsi="Times New Roman"/>
          <w:sz w:val="20"/>
        </w:rPr>
      </w:pPr>
      <w:r w:rsidRPr="00B31493">
        <w:rPr>
          <w:rFonts w:ascii="Times New Roman" w:hAnsi="Times New Roman"/>
          <w:sz w:val="20"/>
        </w:rPr>
        <w:t xml:space="preserve">Jak pamiętasz, siedemdziesiąt „tygodni” to pierwsze 490 lat z 2300 lat w proroctwie </w:t>
      </w:r>
      <w:r w:rsidRPr="00B31493">
        <w:rPr>
          <w:rFonts w:ascii="Times New Roman" w:hAnsi="Times New Roman"/>
          <w:i/>
          <w:iCs/>
          <w:sz w:val="20"/>
        </w:rPr>
        <w:t>Księgi Daniela</w:t>
      </w:r>
      <w:r w:rsidRPr="00B31493">
        <w:rPr>
          <w:rFonts w:ascii="Times New Roman" w:hAnsi="Times New Roman"/>
          <w:sz w:val="20"/>
        </w:rPr>
        <w:t>. Ta część w szczególny sposób była poświęcona narodowi izraelskiemu jako ludowi Bożemu. Pozostała część 2300 lat sięga aż do czasów ostatecznych. Wydarzenia związane z pierwszą częścią proroctwa wypełniły się ze zdumiewającą dokładnością. Taka dokładność daje nam pewność, że wydarzenia związane z pozostałą częścią proroctwa także wypełnią się tak, jak zostały zapowiedziane.</w:t>
      </w:r>
    </w:p>
    <w:p w14:paraId="643B9037" w14:textId="77777777" w:rsidR="006538E0" w:rsidRPr="00B31493" w:rsidRDefault="006538E0" w:rsidP="006538E0">
      <w:pPr>
        <w:rPr>
          <w:rFonts w:ascii="Times New Roman" w:hAnsi="Times New Roman"/>
          <w:sz w:val="20"/>
        </w:rPr>
      </w:pPr>
      <w:r w:rsidRPr="00B31493">
        <w:rPr>
          <w:rFonts w:ascii="Times New Roman" w:hAnsi="Times New Roman"/>
          <w:sz w:val="20"/>
        </w:rPr>
        <w:t>Całe proroctwo zaczyna się od dekretu „</w:t>
      </w:r>
      <w:r w:rsidRPr="00B31493">
        <w:rPr>
          <w:rFonts w:ascii="Times New Roman" w:hAnsi="Times New Roman"/>
          <w:color w:val="000000"/>
          <w:sz w:val="20"/>
        </w:rPr>
        <w:t>o ponownej odbudowie Jeruzalemu</w:t>
      </w:r>
      <w:r w:rsidRPr="00B31493">
        <w:rPr>
          <w:rFonts w:ascii="Times New Roman" w:hAnsi="Times New Roman"/>
          <w:sz w:val="20"/>
        </w:rPr>
        <w:t xml:space="preserve">” z 457 roku p.n.e. </w:t>
      </w:r>
      <w:r w:rsidRPr="00B31493">
        <w:rPr>
          <w:rFonts w:ascii="Times New Roman" w:hAnsi="Times New Roman"/>
          <w:iCs/>
          <w:sz w:val="20"/>
        </w:rPr>
        <w:t>(Dn 9,25)</w:t>
      </w:r>
      <w:r w:rsidRPr="00B31493">
        <w:rPr>
          <w:rFonts w:ascii="Times New Roman" w:hAnsi="Times New Roman"/>
          <w:sz w:val="20"/>
        </w:rPr>
        <w:t>. Jeśli zaczniemy od 457 roku p.n.e. i policzymy 2300 lat (uwzględniając fakt, iż między 1 rokiem p.n.e. a 1 rokiem n.e. nie ma roku zerowego), dojdziemy do 1844 roku n.e. W tym roku rozpoczęło się oczyszczenie świątyni w niebie i dzieło sądu symbolicznie ukazane w rytuale Dnia Pojednania.</w:t>
      </w:r>
    </w:p>
    <w:p w14:paraId="5C186B0A" w14:textId="77777777" w:rsidR="006538E0" w:rsidRPr="00B31493" w:rsidRDefault="006538E0" w:rsidP="006538E0">
      <w:pPr>
        <w:rPr>
          <w:rFonts w:ascii="Times New Roman" w:hAnsi="Times New Roman"/>
          <w:sz w:val="20"/>
        </w:rPr>
      </w:pPr>
    </w:p>
    <w:p w14:paraId="2FCF4F67" w14:textId="77777777" w:rsidR="006538E0" w:rsidRPr="00B31493" w:rsidRDefault="006538E0" w:rsidP="006538E0">
      <w:pPr>
        <w:rPr>
          <w:rFonts w:ascii="Times New Roman" w:hAnsi="Times New Roman"/>
          <w:sz w:val="20"/>
        </w:rPr>
      </w:pPr>
      <w:r w:rsidRPr="00B31493">
        <w:rPr>
          <w:rFonts w:ascii="Times New Roman" w:hAnsi="Times New Roman"/>
          <w:b/>
          <w:sz w:val="20"/>
        </w:rPr>
        <w:t>Część III: Zastosowanie</w:t>
      </w:r>
    </w:p>
    <w:p w14:paraId="3F25E40E" w14:textId="76D3FBA7" w:rsidR="006538E0" w:rsidRPr="00B31493" w:rsidRDefault="006538E0" w:rsidP="006538E0">
      <w:pPr>
        <w:ind w:left="567" w:firstLine="0"/>
        <w:rPr>
          <w:rFonts w:ascii="Times New Roman" w:hAnsi="Times New Roman"/>
          <w:sz w:val="20"/>
        </w:rPr>
      </w:pPr>
      <w:r w:rsidRPr="00B31493">
        <w:rPr>
          <w:rFonts w:ascii="Times New Roman" w:hAnsi="Times New Roman"/>
          <w:sz w:val="20"/>
        </w:rPr>
        <w:t>Zadaj uczestnikom studium następujące pytanie: Jakie znaczenie ma to, że żyjemy w czasie sądu i</w:t>
      </w:r>
      <w:r w:rsidR="00F1471B">
        <w:rPr>
          <w:rFonts w:ascii="Times New Roman" w:hAnsi="Times New Roman"/>
          <w:sz w:val="20"/>
        </w:rPr>
        <w:t> </w:t>
      </w:r>
      <w:r w:rsidRPr="00B31493">
        <w:rPr>
          <w:rFonts w:ascii="Times New Roman" w:hAnsi="Times New Roman"/>
          <w:sz w:val="20"/>
        </w:rPr>
        <w:t>oczyszczenia świątyni czyli antytypicznym dniu pojednania?</w:t>
      </w:r>
    </w:p>
    <w:p w14:paraId="2BAACB6C" w14:textId="77777777" w:rsidR="006538E0" w:rsidRPr="00B31493" w:rsidRDefault="006538E0" w:rsidP="006538E0">
      <w:pPr>
        <w:ind w:left="567" w:firstLine="0"/>
        <w:rPr>
          <w:rFonts w:ascii="Times New Roman" w:hAnsi="Times New Roman"/>
          <w:sz w:val="20"/>
        </w:rPr>
      </w:pPr>
      <w:r w:rsidRPr="00B31493">
        <w:rPr>
          <w:rFonts w:ascii="Times New Roman" w:hAnsi="Times New Roman"/>
          <w:sz w:val="20"/>
        </w:rPr>
        <w:t>Poproś uczestników studium, by zastanowili się nad trzema ważnymi prawdami zawartymi w lekcji bieżącego tygodnia:</w:t>
      </w:r>
    </w:p>
    <w:p w14:paraId="524ABC02" w14:textId="77777777" w:rsidR="006538E0" w:rsidRPr="00B31493" w:rsidRDefault="006538E0" w:rsidP="006538E0">
      <w:pPr>
        <w:ind w:left="567" w:firstLine="0"/>
        <w:rPr>
          <w:rFonts w:ascii="Times New Roman" w:hAnsi="Times New Roman"/>
          <w:sz w:val="20"/>
        </w:rPr>
      </w:pPr>
      <w:r w:rsidRPr="00B31493">
        <w:rPr>
          <w:rFonts w:ascii="Times New Roman" w:hAnsi="Times New Roman"/>
          <w:sz w:val="20"/>
        </w:rPr>
        <w:t xml:space="preserve">1. </w:t>
      </w:r>
      <w:r w:rsidRPr="00B31493">
        <w:rPr>
          <w:rFonts w:ascii="Times New Roman" w:hAnsi="Times New Roman"/>
          <w:i/>
          <w:iCs/>
          <w:sz w:val="20"/>
        </w:rPr>
        <w:t>Biblii można ufać</w:t>
      </w:r>
      <w:r w:rsidRPr="00B31493">
        <w:rPr>
          <w:rFonts w:ascii="Times New Roman" w:hAnsi="Times New Roman"/>
          <w:sz w:val="20"/>
        </w:rPr>
        <w:t>. Jest ona wręcz matematycznie precyzyjna. Jest dokładna we wszystkich szczegółach. Wskazuje precyzyjnie ważne daty w dziejach, przekonując nawet sceptyków o swojej autentyczności. Proroctwo umacnia naszą ufność w wiarygodność Słowa Bożego.</w:t>
      </w:r>
    </w:p>
    <w:p w14:paraId="181B8766" w14:textId="77777777" w:rsidR="006538E0" w:rsidRPr="00B31493" w:rsidRDefault="006538E0" w:rsidP="006538E0">
      <w:pPr>
        <w:ind w:left="567" w:firstLine="0"/>
        <w:rPr>
          <w:rFonts w:ascii="Times New Roman" w:hAnsi="Times New Roman"/>
          <w:sz w:val="20"/>
        </w:rPr>
      </w:pPr>
      <w:r w:rsidRPr="00B31493">
        <w:rPr>
          <w:rFonts w:ascii="Times New Roman" w:hAnsi="Times New Roman"/>
          <w:sz w:val="20"/>
        </w:rPr>
        <w:t xml:space="preserve">2. Przesłanie o sądzie jest wezwaniem do poszukiwania głębszego, autentycznego poświęcenia dla Jezusa jako naszego Pana. W czasie końca wierni Boży będą badali swoje serca, prosząc Boga, by przebaczył im grzechy i oczyścił ich od wszelkich postaw i praktyk niezgodnych z Jego wolą. Będą prosić Boga, by okrył ich szatą sprawiedliwości Chrystusa </w:t>
      </w:r>
      <w:r w:rsidRPr="00B31493">
        <w:rPr>
          <w:rFonts w:ascii="Times New Roman" w:hAnsi="Times New Roman"/>
          <w:iCs/>
          <w:sz w:val="20"/>
        </w:rPr>
        <w:t>(Iz 61,10)</w:t>
      </w:r>
      <w:r w:rsidRPr="00B31493">
        <w:rPr>
          <w:rFonts w:ascii="Times New Roman" w:hAnsi="Times New Roman"/>
          <w:sz w:val="20"/>
        </w:rPr>
        <w:t>.</w:t>
      </w:r>
    </w:p>
    <w:p w14:paraId="73261264" w14:textId="77777777" w:rsidR="006538E0" w:rsidRPr="00B31493" w:rsidRDefault="006538E0" w:rsidP="006538E0">
      <w:pPr>
        <w:ind w:left="567" w:firstLine="0"/>
        <w:rPr>
          <w:rFonts w:ascii="Times New Roman" w:hAnsi="Times New Roman"/>
          <w:sz w:val="20"/>
        </w:rPr>
      </w:pPr>
      <w:r w:rsidRPr="00B31493">
        <w:rPr>
          <w:rFonts w:ascii="Times New Roman" w:hAnsi="Times New Roman"/>
          <w:sz w:val="20"/>
        </w:rPr>
        <w:t>3. Pilność przesłania o sądzie motywuje lud Boży do wydawania świadectwa z nową gorliwością wobec bliskich, przyjaciół, sąsiadów i współpracowników. Przesłanie o sądzie jest ostatnim przesłaniem Nieba do grzesznego świata - przesłaniem, które przygotuje ludzkość na powtórne przyjście Jezusa.</w:t>
      </w:r>
    </w:p>
    <w:p w14:paraId="169C8B54" w14:textId="77777777" w:rsidR="006538E0" w:rsidRPr="00B31493" w:rsidRDefault="006538E0" w:rsidP="006538E0">
      <w:pPr>
        <w:ind w:left="567" w:firstLine="0"/>
        <w:rPr>
          <w:rFonts w:ascii="Times New Roman" w:hAnsi="Times New Roman"/>
          <w:sz w:val="20"/>
        </w:rPr>
      </w:pPr>
      <w:r w:rsidRPr="00B31493">
        <w:rPr>
          <w:rFonts w:ascii="Times New Roman" w:hAnsi="Times New Roman"/>
          <w:sz w:val="20"/>
        </w:rPr>
        <w:t>Zakończ studium następującymi praktycznymi pytaniami, prosząc uczestników, by w ciągu nadchodzącego tygodnia osobiście zastanowili się nad odpowiedziami na te pytania:</w:t>
      </w:r>
    </w:p>
    <w:p w14:paraId="0E99D8E1" w14:textId="77777777" w:rsidR="006538E0" w:rsidRPr="00B31493" w:rsidRDefault="006538E0" w:rsidP="006538E0">
      <w:pPr>
        <w:ind w:left="567" w:firstLine="0"/>
        <w:rPr>
          <w:rFonts w:ascii="Times New Roman" w:hAnsi="Times New Roman"/>
          <w:sz w:val="20"/>
        </w:rPr>
      </w:pPr>
      <w:r w:rsidRPr="00B31493">
        <w:rPr>
          <w:rFonts w:ascii="Times New Roman" w:hAnsi="Times New Roman"/>
          <w:sz w:val="20"/>
        </w:rPr>
        <w:t>1. Czy w pełni powierzyłem siebie Chrystusowi w tym trudnym okresie dziejów świata? Jeżeli nie, to co powstrzymuje mnie od tego?</w:t>
      </w:r>
    </w:p>
    <w:p w14:paraId="3F21EE87" w14:textId="77777777" w:rsidR="006538E0" w:rsidRPr="00B31493" w:rsidRDefault="006538E0" w:rsidP="006538E0">
      <w:pPr>
        <w:ind w:left="567" w:firstLine="0"/>
        <w:rPr>
          <w:rFonts w:ascii="Times New Roman" w:hAnsi="Times New Roman"/>
          <w:sz w:val="20"/>
        </w:rPr>
      </w:pPr>
      <w:r w:rsidRPr="00B31493">
        <w:rPr>
          <w:rFonts w:ascii="Times New Roman" w:hAnsi="Times New Roman"/>
          <w:sz w:val="20"/>
        </w:rPr>
        <w:t>2. Czy jestem pewny, że mam zbawienie w Jezusie? Dlaczego tak albo dlaczego nie? Dlaczego mogę pokładać ufność wyłącznie w Jego sprawiedliwości? Na czym to polega w praktyce? Czy moja nadzieja jest całkowicie i absolutnie oparta na Nim? Jeśli nie, co muszę uczynić, by nauczyć się ufać Mu bezgranicznie?</w:t>
      </w:r>
    </w:p>
    <w:p w14:paraId="2647DE2F" w14:textId="01F249AE" w:rsidR="00806EFC" w:rsidRPr="00B31493" w:rsidRDefault="00806EFC" w:rsidP="006538E0">
      <w:pPr>
        <w:rPr>
          <w:rFonts w:ascii="Times New Roman" w:hAnsi="Times New Roman"/>
          <w:sz w:val="20"/>
        </w:rPr>
      </w:pPr>
    </w:p>
    <w:sectPr w:rsidR="00806EFC" w:rsidRPr="00B31493" w:rsidSect="001F5154">
      <w:headerReference w:type="default" r:id="rId8"/>
      <w:footerReference w:type="default" r:id="rI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1FD7" w14:textId="77777777" w:rsidR="000B2210" w:rsidRDefault="000B2210" w:rsidP="00A820C9">
      <w:r>
        <w:separator/>
      </w:r>
    </w:p>
  </w:endnote>
  <w:endnote w:type="continuationSeparator" w:id="0">
    <w:p w14:paraId="25ADE440" w14:textId="77777777" w:rsidR="000B2210" w:rsidRDefault="000B2210"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4BF75" w14:textId="77777777" w:rsidR="000B2210" w:rsidRDefault="000B2210" w:rsidP="00A820C9">
      <w:r>
        <w:separator/>
      </w:r>
    </w:p>
  </w:footnote>
  <w:footnote w:type="continuationSeparator" w:id="0">
    <w:p w14:paraId="4BBCFE8A" w14:textId="77777777" w:rsidR="000B2210" w:rsidRDefault="000B2210"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981C" w14:textId="651DED0E" w:rsidR="00021809" w:rsidRPr="00021809" w:rsidRDefault="00B2361E" w:rsidP="00021809">
    <w:pPr>
      <w:rPr>
        <w:rFonts w:ascii="Times New Roman" w:hAnsi="Times New Roman"/>
        <w:sz w:val="16"/>
        <w:szCs w:val="16"/>
      </w:rPr>
    </w:pPr>
    <w:r w:rsidRPr="00B2361E">
      <w:rPr>
        <w:rFonts w:ascii="Times New Roman" w:eastAsia="MS PMincho" w:hAnsi="Times New Roman"/>
        <w:sz w:val="16"/>
        <w:szCs w:val="16"/>
      </w:rPr>
      <w:t xml:space="preserve">Lekcje Biblijne </w:t>
    </w:r>
    <w:r w:rsidR="006579C5">
      <w:rPr>
        <w:rFonts w:ascii="Times New Roman" w:eastAsia="MS PMincho" w:hAnsi="Times New Roman"/>
        <w:sz w:val="16"/>
        <w:szCs w:val="16"/>
      </w:rPr>
      <w:t>2</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021809">
      <w:rPr>
        <w:rFonts w:ascii="Times New Roman" w:eastAsia="MS PMincho" w:hAnsi="Times New Roman"/>
        <w:sz w:val="16"/>
        <w:szCs w:val="16"/>
      </w:rPr>
      <w:t>3</w:t>
    </w:r>
    <w:r w:rsidRPr="00B2361E">
      <w:rPr>
        <w:rFonts w:ascii="Times New Roman" w:eastAsia="MS PMincho" w:hAnsi="Times New Roman"/>
        <w:sz w:val="16"/>
        <w:szCs w:val="16"/>
      </w:rPr>
      <w:t xml:space="preserve">, </w:t>
    </w:r>
    <w:r w:rsidR="006579C5">
      <w:rPr>
        <w:rFonts w:ascii="Times New Roman" w:hAnsi="Times New Roman"/>
        <w:sz w:val="16"/>
        <w:szCs w:val="16"/>
      </w:rPr>
      <w:t>Mark Finley</w:t>
    </w:r>
    <w:r w:rsidR="00203AFA" w:rsidRPr="00203AFA">
      <w:rPr>
        <w:rFonts w:ascii="Times New Roman" w:hAnsi="Times New Roman"/>
        <w:sz w:val="16"/>
        <w:szCs w:val="16"/>
      </w:rPr>
      <w:t xml:space="preserve">, </w:t>
    </w:r>
    <w:r w:rsidR="006579C5">
      <w:rPr>
        <w:rFonts w:ascii="Times New Roman" w:hAnsi="Times New Roman"/>
        <w:i/>
        <w:iCs/>
        <w:sz w:val="16"/>
        <w:szCs w:val="16"/>
      </w:rPr>
      <w:t>Trzy niebiańskie przesłania</w:t>
    </w:r>
  </w:p>
  <w:p w14:paraId="172D6354" w14:textId="7008B899" w:rsidR="00D2777F" w:rsidRPr="00813468" w:rsidRDefault="00B2361E" w:rsidP="00D2777F">
    <w:pPr>
      <w:rPr>
        <w:rFonts w:ascii="Times New Roman" w:hAnsi="Times New Roman"/>
        <w:bCs/>
        <w:sz w:val="20"/>
      </w:rPr>
    </w:pPr>
    <w:r w:rsidRPr="00B2361E">
      <w:rPr>
        <w:rFonts w:ascii="Times New Roman" w:hAnsi="Times New Roman"/>
        <w:sz w:val="16"/>
        <w:szCs w:val="16"/>
      </w:rPr>
      <w:t>Przewodnik dla nauczycieli, Lekcja</w:t>
    </w:r>
    <w:r w:rsidR="007D22FA">
      <w:rPr>
        <w:rFonts w:ascii="Times New Roman" w:hAnsi="Times New Roman"/>
        <w:sz w:val="16"/>
        <w:szCs w:val="16"/>
      </w:rPr>
      <w:t xml:space="preserve"> </w:t>
    </w:r>
    <w:r w:rsidR="00AF7148">
      <w:rPr>
        <w:rFonts w:ascii="Times New Roman" w:hAnsi="Times New Roman"/>
        <w:sz w:val="16"/>
        <w:szCs w:val="16"/>
      </w:rPr>
      <w:t>6</w:t>
    </w:r>
    <w:r w:rsidR="00EA7962">
      <w:rPr>
        <w:rFonts w:ascii="Times New Roman" w:hAnsi="Times New Roman"/>
        <w:sz w:val="16"/>
        <w:szCs w:val="16"/>
      </w:rPr>
      <w:t>–</w:t>
    </w:r>
    <w:r w:rsidR="00203AFA">
      <w:rPr>
        <w:rFonts w:ascii="Times New Roman" w:hAnsi="Times New Roman"/>
        <w:sz w:val="16"/>
        <w:szCs w:val="16"/>
      </w:rPr>
      <w:t xml:space="preserve"> </w:t>
    </w:r>
    <w:r w:rsidR="00AF7148">
      <w:rPr>
        <w:rFonts w:ascii="Times New Roman" w:hAnsi="Times New Roman"/>
        <w:bCs/>
        <w:sz w:val="16"/>
        <w:szCs w:val="16"/>
      </w:rPr>
      <w:t>Godzina sądu Jego</w:t>
    </w:r>
  </w:p>
  <w:p w14:paraId="23E7A1A8" w14:textId="43484FD4" w:rsidR="001512CF" w:rsidRPr="00813468" w:rsidRDefault="001512CF" w:rsidP="001512CF">
    <w:pPr>
      <w:rPr>
        <w:rFonts w:ascii="Times New Roman" w:hAnsi="Times New Roman"/>
        <w:bCs/>
        <w:sz w:val="20"/>
      </w:rPr>
    </w:pP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2"/>
  </w:num>
  <w:num w:numId="2" w16cid:durableId="851649020">
    <w:abstractNumId w:val="0"/>
  </w:num>
  <w:num w:numId="3" w16cid:durableId="45059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1809"/>
    <w:rsid w:val="00026501"/>
    <w:rsid w:val="00027C13"/>
    <w:rsid w:val="000314C7"/>
    <w:rsid w:val="00034222"/>
    <w:rsid w:val="00035493"/>
    <w:rsid w:val="00041B9C"/>
    <w:rsid w:val="0004300C"/>
    <w:rsid w:val="000453F3"/>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43C0"/>
    <w:rsid w:val="00095BF6"/>
    <w:rsid w:val="00097610"/>
    <w:rsid w:val="000A1890"/>
    <w:rsid w:val="000A5E76"/>
    <w:rsid w:val="000A7CAE"/>
    <w:rsid w:val="000B2210"/>
    <w:rsid w:val="000B4665"/>
    <w:rsid w:val="000C39FA"/>
    <w:rsid w:val="000C43D8"/>
    <w:rsid w:val="000C5999"/>
    <w:rsid w:val="000C77EF"/>
    <w:rsid w:val="000D0B43"/>
    <w:rsid w:val="000D3669"/>
    <w:rsid w:val="000D704C"/>
    <w:rsid w:val="000E37F9"/>
    <w:rsid w:val="000E3D8C"/>
    <w:rsid w:val="000F1FAD"/>
    <w:rsid w:val="000F4D2C"/>
    <w:rsid w:val="00101FCB"/>
    <w:rsid w:val="0010237B"/>
    <w:rsid w:val="001112C7"/>
    <w:rsid w:val="00125D50"/>
    <w:rsid w:val="00125E33"/>
    <w:rsid w:val="00130250"/>
    <w:rsid w:val="00130B84"/>
    <w:rsid w:val="00131D4E"/>
    <w:rsid w:val="001344DC"/>
    <w:rsid w:val="00135593"/>
    <w:rsid w:val="001407C0"/>
    <w:rsid w:val="00140C94"/>
    <w:rsid w:val="001512CF"/>
    <w:rsid w:val="0015413F"/>
    <w:rsid w:val="00160A2E"/>
    <w:rsid w:val="00161F23"/>
    <w:rsid w:val="00162107"/>
    <w:rsid w:val="001634CA"/>
    <w:rsid w:val="001663AF"/>
    <w:rsid w:val="00166A4D"/>
    <w:rsid w:val="00167273"/>
    <w:rsid w:val="00172076"/>
    <w:rsid w:val="0017267D"/>
    <w:rsid w:val="00172E60"/>
    <w:rsid w:val="00180FC0"/>
    <w:rsid w:val="00186AB2"/>
    <w:rsid w:val="001900C2"/>
    <w:rsid w:val="00191138"/>
    <w:rsid w:val="00192589"/>
    <w:rsid w:val="001A04DE"/>
    <w:rsid w:val="001A14AD"/>
    <w:rsid w:val="001A64A1"/>
    <w:rsid w:val="001A762A"/>
    <w:rsid w:val="001B6CB1"/>
    <w:rsid w:val="001C3DCA"/>
    <w:rsid w:val="001C7F11"/>
    <w:rsid w:val="001D207D"/>
    <w:rsid w:val="001E3960"/>
    <w:rsid w:val="001F3AB8"/>
    <w:rsid w:val="001F5154"/>
    <w:rsid w:val="00202B4E"/>
    <w:rsid w:val="00203AFA"/>
    <w:rsid w:val="002066CC"/>
    <w:rsid w:val="00207A60"/>
    <w:rsid w:val="00211923"/>
    <w:rsid w:val="00212D47"/>
    <w:rsid w:val="002215B7"/>
    <w:rsid w:val="0024201E"/>
    <w:rsid w:val="002426C3"/>
    <w:rsid w:val="00243314"/>
    <w:rsid w:val="00246E69"/>
    <w:rsid w:val="002477AE"/>
    <w:rsid w:val="00247ECF"/>
    <w:rsid w:val="00251868"/>
    <w:rsid w:val="00252375"/>
    <w:rsid w:val="00256C0B"/>
    <w:rsid w:val="00262338"/>
    <w:rsid w:val="00262399"/>
    <w:rsid w:val="002646E2"/>
    <w:rsid w:val="002666F2"/>
    <w:rsid w:val="00267AD9"/>
    <w:rsid w:val="0027003D"/>
    <w:rsid w:val="00283CFF"/>
    <w:rsid w:val="002840D6"/>
    <w:rsid w:val="0028485A"/>
    <w:rsid w:val="002A0BB1"/>
    <w:rsid w:val="002A0CBE"/>
    <w:rsid w:val="002A1958"/>
    <w:rsid w:val="002A48E6"/>
    <w:rsid w:val="002A604C"/>
    <w:rsid w:val="002B23C1"/>
    <w:rsid w:val="002B2505"/>
    <w:rsid w:val="002B7744"/>
    <w:rsid w:val="002B7FC3"/>
    <w:rsid w:val="002C1A03"/>
    <w:rsid w:val="002C4FFF"/>
    <w:rsid w:val="002C76F8"/>
    <w:rsid w:val="002D1C21"/>
    <w:rsid w:val="002D3EDC"/>
    <w:rsid w:val="002E6154"/>
    <w:rsid w:val="002F38CF"/>
    <w:rsid w:val="002F7A06"/>
    <w:rsid w:val="00300F15"/>
    <w:rsid w:val="00305BBE"/>
    <w:rsid w:val="00313E01"/>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67BCE"/>
    <w:rsid w:val="00370D9B"/>
    <w:rsid w:val="00377B16"/>
    <w:rsid w:val="00382113"/>
    <w:rsid w:val="00386DF1"/>
    <w:rsid w:val="00393F20"/>
    <w:rsid w:val="00394C88"/>
    <w:rsid w:val="003A03DD"/>
    <w:rsid w:val="003A048A"/>
    <w:rsid w:val="003A0F39"/>
    <w:rsid w:val="003A1217"/>
    <w:rsid w:val="003A4695"/>
    <w:rsid w:val="003A5986"/>
    <w:rsid w:val="003B032F"/>
    <w:rsid w:val="003B30B7"/>
    <w:rsid w:val="003B7F2E"/>
    <w:rsid w:val="003C11EC"/>
    <w:rsid w:val="003C5237"/>
    <w:rsid w:val="003C5A40"/>
    <w:rsid w:val="003D1F71"/>
    <w:rsid w:val="003D35FF"/>
    <w:rsid w:val="003E38DE"/>
    <w:rsid w:val="003E3A74"/>
    <w:rsid w:val="003E4E64"/>
    <w:rsid w:val="003E5187"/>
    <w:rsid w:val="003E5816"/>
    <w:rsid w:val="003E58B7"/>
    <w:rsid w:val="003E67C5"/>
    <w:rsid w:val="00404868"/>
    <w:rsid w:val="00411F03"/>
    <w:rsid w:val="00416C57"/>
    <w:rsid w:val="00422C48"/>
    <w:rsid w:val="00430F8E"/>
    <w:rsid w:val="004329D1"/>
    <w:rsid w:val="0043366A"/>
    <w:rsid w:val="004356BE"/>
    <w:rsid w:val="0044128C"/>
    <w:rsid w:val="0044786C"/>
    <w:rsid w:val="00455840"/>
    <w:rsid w:val="0045585B"/>
    <w:rsid w:val="00457757"/>
    <w:rsid w:val="004622A1"/>
    <w:rsid w:val="00464D68"/>
    <w:rsid w:val="00473EDB"/>
    <w:rsid w:val="004752A7"/>
    <w:rsid w:val="004765D6"/>
    <w:rsid w:val="00477D59"/>
    <w:rsid w:val="004812BD"/>
    <w:rsid w:val="00482556"/>
    <w:rsid w:val="004848E7"/>
    <w:rsid w:val="004940F1"/>
    <w:rsid w:val="00497AC0"/>
    <w:rsid w:val="004A07EB"/>
    <w:rsid w:val="004A1334"/>
    <w:rsid w:val="004A1F71"/>
    <w:rsid w:val="004A3508"/>
    <w:rsid w:val="004A623A"/>
    <w:rsid w:val="004A68C6"/>
    <w:rsid w:val="004B48A7"/>
    <w:rsid w:val="004B532A"/>
    <w:rsid w:val="004B6D09"/>
    <w:rsid w:val="004C0962"/>
    <w:rsid w:val="004D065E"/>
    <w:rsid w:val="004D072B"/>
    <w:rsid w:val="004E0A2B"/>
    <w:rsid w:val="004E2DE9"/>
    <w:rsid w:val="004E40B6"/>
    <w:rsid w:val="004E7727"/>
    <w:rsid w:val="004F0AA1"/>
    <w:rsid w:val="004F3A13"/>
    <w:rsid w:val="004F76CE"/>
    <w:rsid w:val="004F7F95"/>
    <w:rsid w:val="00504576"/>
    <w:rsid w:val="0050690A"/>
    <w:rsid w:val="00512602"/>
    <w:rsid w:val="00512C47"/>
    <w:rsid w:val="005205E4"/>
    <w:rsid w:val="00521F52"/>
    <w:rsid w:val="00524B4C"/>
    <w:rsid w:val="00527468"/>
    <w:rsid w:val="00535F72"/>
    <w:rsid w:val="00542986"/>
    <w:rsid w:val="00544549"/>
    <w:rsid w:val="005449EA"/>
    <w:rsid w:val="00545A28"/>
    <w:rsid w:val="00547F5F"/>
    <w:rsid w:val="00551C03"/>
    <w:rsid w:val="005537F3"/>
    <w:rsid w:val="005538E5"/>
    <w:rsid w:val="005548FA"/>
    <w:rsid w:val="0055562E"/>
    <w:rsid w:val="00565F2E"/>
    <w:rsid w:val="005675D2"/>
    <w:rsid w:val="00570DDD"/>
    <w:rsid w:val="005731EA"/>
    <w:rsid w:val="0058262E"/>
    <w:rsid w:val="0058291A"/>
    <w:rsid w:val="0058625A"/>
    <w:rsid w:val="00597FD2"/>
    <w:rsid w:val="005A1543"/>
    <w:rsid w:val="005A2815"/>
    <w:rsid w:val="005A45AA"/>
    <w:rsid w:val="005B1BDE"/>
    <w:rsid w:val="005B5CE3"/>
    <w:rsid w:val="005C0E8B"/>
    <w:rsid w:val="005C7E3B"/>
    <w:rsid w:val="005D533A"/>
    <w:rsid w:val="005D58BF"/>
    <w:rsid w:val="005D67F6"/>
    <w:rsid w:val="005D7BEF"/>
    <w:rsid w:val="005E01EF"/>
    <w:rsid w:val="005E15DD"/>
    <w:rsid w:val="005E2E7B"/>
    <w:rsid w:val="005F1934"/>
    <w:rsid w:val="005F2CF5"/>
    <w:rsid w:val="005F4846"/>
    <w:rsid w:val="005F4946"/>
    <w:rsid w:val="005F5068"/>
    <w:rsid w:val="0060229C"/>
    <w:rsid w:val="00602B6F"/>
    <w:rsid w:val="006030B3"/>
    <w:rsid w:val="00614445"/>
    <w:rsid w:val="00615FE6"/>
    <w:rsid w:val="00617CBE"/>
    <w:rsid w:val="00620D2E"/>
    <w:rsid w:val="006237C5"/>
    <w:rsid w:val="006254DA"/>
    <w:rsid w:val="00632A41"/>
    <w:rsid w:val="0063445E"/>
    <w:rsid w:val="00637276"/>
    <w:rsid w:val="00646C71"/>
    <w:rsid w:val="006538E0"/>
    <w:rsid w:val="006579C5"/>
    <w:rsid w:val="0066123D"/>
    <w:rsid w:val="006624AC"/>
    <w:rsid w:val="0066463A"/>
    <w:rsid w:val="006657A7"/>
    <w:rsid w:val="00666851"/>
    <w:rsid w:val="00673C79"/>
    <w:rsid w:val="00680F75"/>
    <w:rsid w:val="00685F14"/>
    <w:rsid w:val="00690562"/>
    <w:rsid w:val="00691DF0"/>
    <w:rsid w:val="006944B4"/>
    <w:rsid w:val="006960FC"/>
    <w:rsid w:val="00697041"/>
    <w:rsid w:val="00697F47"/>
    <w:rsid w:val="006A0507"/>
    <w:rsid w:val="006A2A98"/>
    <w:rsid w:val="006A77D5"/>
    <w:rsid w:val="006B4286"/>
    <w:rsid w:val="006B4503"/>
    <w:rsid w:val="006C1AD2"/>
    <w:rsid w:val="006C3510"/>
    <w:rsid w:val="006C423D"/>
    <w:rsid w:val="006D05BE"/>
    <w:rsid w:val="006D2FC5"/>
    <w:rsid w:val="006E44CF"/>
    <w:rsid w:val="006E5C3B"/>
    <w:rsid w:val="006E7DE4"/>
    <w:rsid w:val="006F2FFB"/>
    <w:rsid w:val="006F3FE7"/>
    <w:rsid w:val="0071208E"/>
    <w:rsid w:val="00725650"/>
    <w:rsid w:val="00726F3A"/>
    <w:rsid w:val="00727749"/>
    <w:rsid w:val="007328A5"/>
    <w:rsid w:val="007346EB"/>
    <w:rsid w:val="0074017C"/>
    <w:rsid w:val="00752127"/>
    <w:rsid w:val="007608BA"/>
    <w:rsid w:val="0076232D"/>
    <w:rsid w:val="00767D8E"/>
    <w:rsid w:val="00772085"/>
    <w:rsid w:val="0077525B"/>
    <w:rsid w:val="00776C42"/>
    <w:rsid w:val="007812DA"/>
    <w:rsid w:val="00785516"/>
    <w:rsid w:val="007903E8"/>
    <w:rsid w:val="0079345B"/>
    <w:rsid w:val="007934DA"/>
    <w:rsid w:val="0079785B"/>
    <w:rsid w:val="007A0C54"/>
    <w:rsid w:val="007B180A"/>
    <w:rsid w:val="007B67F4"/>
    <w:rsid w:val="007C0F83"/>
    <w:rsid w:val="007C6037"/>
    <w:rsid w:val="007C7311"/>
    <w:rsid w:val="007D0F98"/>
    <w:rsid w:val="007D22FA"/>
    <w:rsid w:val="007E2A1C"/>
    <w:rsid w:val="007E39EB"/>
    <w:rsid w:val="007E4C17"/>
    <w:rsid w:val="007F2BD7"/>
    <w:rsid w:val="00806EFC"/>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44D9"/>
    <w:rsid w:val="00897134"/>
    <w:rsid w:val="008A4A07"/>
    <w:rsid w:val="008A4CC9"/>
    <w:rsid w:val="008A5882"/>
    <w:rsid w:val="008B44EC"/>
    <w:rsid w:val="008C0DBC"/>
    <w:rsid w:val="008C18FA"/>
    <w:rsid w:val="008C1D23"/>
    <w:rsid w:val="008C1F5B"/>
    <w:rsid w:val="008C53FF"/>
    <w:rsid w:val="008C694D"/>
    <w:rsid w:val="008C723E"/>
    <w:rsid w:val="008D3D4A"/>
    <w:rsid w:val="008D5DB1"/>
    <w:rsid w:val="008E0114"/>
    <w:rsid w:val="008E1633"/>
    <w:rsid w:val="008E63CB"/>
    <w:rsid w:val="009006D3"/>
    <w:rsid w:val="009039D9"/>
    <w:rsid w:val="00903AB3"/>
    <w:rsid w:val="00904615"/>
    <w:rsid w:val="00910645"/>
    <w:rsid w:val="009124E5"/>
    <w:rsid w:val="0091425C"/>
    <w:rsid w:val="0091548D"/>
    <w:rsid w:val="00924C53"/>
    <w:rsid w:val="00926046"/>
    <w:rsid w:val="00933C8E"/>
    <w:rsid w:val="00934141"/>
    <w:rsid w:val="00935E1F"/>
    <w:rsid w:val="009378A8"/>
    <w:rsid w:val="00947D49"/>
    <w:rsid w:val="00957870"/>
    <w:rsid w:val="0096645D"/>
    <w:rsid w:val="00971A12"/>
    <w:rsid w:val="00971D22"/>
    <w:rsid w:val="00974B48"/>
    <w:rsid w:val="0097572F"/>
    <w:rsid w:val="00980C54"/>
    <w:rsid w:val="00981BE7"/>
    <w:rsid w:val="0099242B"/>
    <w:rsid w:val="00992622"/>
    <w:rsid w:val="00993777"/>
    <w:rsid w:val="00997535"/>
    <w:rsid w:val="009A6521"/>
    <w:rsid w:val="009A7A43"/>
    <w:rsid w:val="009B0D6B"/>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85F"/>
    <w:rsid w:val="00A32AA6"/>
    <w:rsid w:val="00A372AD"/>
    <w:rsid w:val="00A37509"/>
    <w:rsid w:val="00A41678"/>
    <w:rsid w:val="00A45D17"/>
    <w:rsid w:val="00A467DA"/>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0726"/>
    <w:rsid w:val="00AB0FDB"/>
    <w:rsid w:val="00AB1225"/>
    <w:rsid w:val="00AB1F16"/>
    <w:rsid w:val="00AB40C3"/>
    <w:rsid w:val="00AB5D63"/>
    <w:rsid w:val="00AB5E5B"/>
    <w:rsid w:val="00AB6768"/>
    <w:rsid w:val="00AC3205"/>
    <w:rsid w:val="00AD058E"/>
    <w:rsid w:val="00AD4D5B"/>
    <w:rsid w:val="00AD7194"/>
    <w:rsid w:val="00AE5A7A"/>
    <w:rsid w:val="00AE5A8E"/>
    <w:rsid w:val="00AF7148"/>
    <w:rsid w:val="00B0225B"/>
    <w:rsid w:val="00B03B2B"/>
    <w:rsid w:val="00B07460"/>
    <w:rsid w:val="00B103C2"/>
    <w:rsid w:val="00B111BA"/>
    <w:rsid w:val="00B12BA8"/>
    <w:rsid w:val="00B15E60"/>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2FEE"/>
    <w:rsid w:val="00B941C8"/>
    <w:rsid w:val="00BA1F8B"/>
    <w:rsid w:val="00BA48CF"/>
    <w:rsid w:val="00BA4C89"/>
    <w:rsid w:val="00BA5879"/>
    <w:rsid w:val="00BA7EDD"/>
    <w:rsid w:val="00BC6CC7"/>
    <w:rsid w:val="00BC756F"/>
    <w:rsid w:val="00BD0104"/>
    <w:rsid w:val="00BD2DCB"/>
    <w:rsid w:val="00BD3F60"/>
    <w:rsid w:val="00BD5317"/>
    <w:rsid w:val="00BD6674"/>
    <w:rsid w:val="00BE0E82"/>
    <w:rsid w:val="00BE1627"/>
    <w:rsid w:val="00BE2C2F"/>
    <w:rsid w:val="00BE4B11"/>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57E18"/>
    <w:rsid w:val="00C61B5B"/>
    <w:rsid w:val="00C67C1F"/>
    <w:rsid w:val="00C711AB"/>
    <w:rsid w:val="00C742FE"/>
    <w:rsid w:val="00C76D9B"/>
    <w:rsid w:val="00C83D3B"/>
    <w:rsid w:val="00C851EF"/>
    <w:rsid w:val="00C85D32"/>
    <w:rsid w:val="00C92F76"/>
    <w:rsid w:val="00C93192"/>
    <w:rsid w:val="00C93C85"/>
    <w:rsid w:val="00CA1F88"/>
    <w:rsid w:val="00CA642A"/>
    <w:rsid w:val="00CB2110"/>
    <w:rsid w:val="00CB286C"/>
    <w:rsid w:val="00CB571A"/>
    <w:rsid w:val="00CD0148"/>
    <w:rsid w:val="00CD0686"/>
    <w:rsid w:val="00CD39F3"/>
    <w:rsid w:val="00CD55B6"/>
    <w:rsid w:val="00CD6B02"/>
    <w:rsid w:val="00CE3EC7"/>
    <w:rsid w:val="00CE4997"/>
    <w:rsid w:val="00CE667A"/>
    <w:rsid w:val="00CE7AE1"/>
    <w:rsid w:val="00CE7CCE"/>
    <w:rsid w:val="00CF2F3B"/>
    <w:rsid w:val="00D010E2"/>
    <w:rsid w:val="00D0110D"/>
    <w:rsid w:val="00D0120F"/>
    <w:rsid w:val="00D0482E"/>
    <w:rsid w:val="00D1365B"/>
    <w:rsid w:val="00D143E6"/>
    <w:rsid w:val="00D17CAF"/>
    <w:rsid w:val="00D21548"/>
    <w:rsid w:val="00D23376"/>
    <w:rsid w:val="00D2777F"/>
    <w:rsid w:val="00D3080D"/>
    <w:rsid w:val="00D34B1B"/>
    <w:rsid w:val="00D43042"/>
    <w:rsid w:val="00D43CA9"/>
    <w:rsid w:val="00D460C5"/>
    <w:rsid w:val="00D5040D"/>
    <w:rsid w:val="00D5746C"/>
    <w:rsid w:val="00D649BF"/>
    <w:rsid w:val="00D67231"/>
    <w:rsid w:val="00D7222D"/>
    <w:rsid w:val="00D746F4"/>
    <w:rsid w:val="00D806C5"/>
    <w:rsid w:val="00D92CA4"/>
    <w:rsid w:val="00DA421C"/>
    <w:rsid w:val="00DB2CB9"/>
    <w:rsid w:val="00DB4758"/>
    <w:rsid w:val="00DB7651"/>
    <w:rsid w:val="00DC26F2"/>
    <w:rsid w:val="00DC750C"/>
    <w:rsid w:val="00DC7A32"/>
    <w:rsid w:val="00DD10BF"/>
    <w:rsid w:val="00DD3DBD"/>
    <w:rsid w:val="00DD7767"/>
    <w:rsid w:val="00DD7EA6"/>
    <w:rsid w:val="00DE011A"/>
    <w:rsid w:val="00DE0B9C"/>
    <w:rsid w:val="00DE4A5A"/>
    <w:rsid w:val="00DE5AB9"/>
    <w:rsid w:val="00DF07F4"/>
    <w:rsid w:val="00DF1EA2"/>
    <w:rsid w:val="00E00CA0"/>
    <w:rsid w:val="00E024F6"/>
    <w:rsid w:val="00E03075"/>
    <w:rsid w:val="00E06F36"/>
    <w:rsid w:val="00E12E10"/>
    <w:rsid w:val="00E147E0"/>
    <w:rsid w:val="00E15431"/>
    <w:rsid w:val="00E23861"/>
    <w:rsid w:val="00E274A1"/>
    <w:rsid w:val="00E30B48"/>
    <w:rsid w:val="00E32868"/>
    <w:rsid w:val="00E35427"/>
    <w:rsid w:val="00E366EF"/>
    <w:rsid w:val="00E57CF3"/>
    <w:rsid w:val="00E60CC8"/>
    <w:rsid w:val="00E70CA3"/>
    <w:rsid w:val="00E73131"/>
    <w:rsid w:val="00E74F52"/>
    <w:rsid w:val="00E7674E"/>
    <w:rsid w:val="00E8687A"/>
    <w:rsid w:val="00E86CB7"/>
    <w:rsid w:val="00E9016B"/>
    <w:rsid w:val="00E90F2D"/>
    <w:rsid w:val="00E9226C"/>
    <w:rsid w:val="00E932DD"/>
    <w:rsid w:val="00E95C9D"/>
    <w:rsid w:val="00EA7962"/>
    <w:rsid w:val="00EB1FDE"/>
    <w:rsid w:val="00EB34DD"/>
    <w:rsid w:val="00EC1ADB"/>
    <w:rsid w:val="00EC2C82"/>
    <w:rsid w:val="00ED244C"/>
    <w:rsid w:val="00EF226A"/>
    <w:rsid w:val="00EF3E9E"/>
    <w:rsid w:val="00EF502C"/>
    <w:rsid w:val="00EF5B66"/>
    <w:rsid w:val="00F1471B"/>
    <w:rsid w:val="00F16117"/>
    <w:rsid w:val="00F16358"/>
    <w:rsid w:val="00F20160"/>
    <w:rsid w:val="00F21416"/>
    <w:rsid w:val="00F21967"/>
    <w:rsid w:val="00F2397B"/>
    <w:rsid w:val="00F34F5E"/>
    <w:rsid w:val="00F40C65"/>
    <w:rsid w:val="00F42A78"/>
    <w:rsid w:val="00F42B0D"/>
    <w:rsid w:val="00F47047"/>
    <w:rsid w:val="00F5322D"/>
    <w:rsid w:val="00F542EB"/>
    <w:rsid w:val="00F644F8"/>
    <w:rsid w:val="00F711C9"/>
    <w:rsid w:val="00F757EC"/>
    <w:rsid w:val="00F8023F"/>
    <w:rsid w:val="00F85EB2"/>
    <w:rsid w:val="00F861EF"/>
    <w:rsid w:val="00F86EBE"/>
    <w:rsid w:val="00F90FAD"/>
    <w:rsid w:val="00F96322"/>
    <w:rsid w:val="00FA07DB"/>
    <w:rsid w:val="00FA2519"/>
    <w:rsid w:val="00FB0002"/>
    <w:rsid w:val="00FB2430"/>
    <w:rsid w:val="00FB5DE0"/>
    <w:rsid w:val="00FB5F4B"/>
    <w:rsid w:val="00FC280C"/>
    <w:rsid w:val="00FC35F3"/>
    <w:rsid w:val="00FC503E"/>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1502</Words>
  <Characters>8820</Characters>
  <Application>Microsoft Office Word</Application>
  <DocSecurity>0</DocSecurity>
  <Lines>116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2023-04-04T12:33:00Z</dcterms:created>
  <dcterms:modified xsi:type="dcterms:W3CDTF">2023-04-04T12:38:00Z</dcterms:modified>
</cp:coreProperties>
</file>