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DB886" w14:textId="2EB7F819"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645D50" w:rsidRPr="00267B4D">
        <w:rPr>
          <w:rFonts w:ascii="Times New Roman" w:hAnsi="Times New Roman"/>
          <w:sz w:val="20"/>
        </w:rPr>
        <w:t xml:space="preserve"> </w:t>
      </w:r>
      <w:r w:rsidR="00CC4075">
        <w:rPr>
          <w:rFonts w:ascii="Times New Roman" w:hAnsi="Times New Roman"/>
          <w:sz w:val="20"/>
        </w:rPr>
        <w:t>8</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CC4075">
        <w:rPr>
          <w:rFonts w:ascii="Times New Roman" w:hAnsi="Times New Roman"/>
          <w:sz w:val="20"/>
        </w:rPr>
        <w:t>25</w:t>
      </w:r>
      <w:r w:rsidR="00F20413" w:rsidRPr="00267B4D">
        <w:rPr>
          <w:rFonts w:ascii="Times New Roman" w:hAnsi="Times New Roman"/>
          <w:sz w:val="20"/>
        </w:rPr>
        <w:t xml:space="preserve"> </w:t>
      </w:r>
      <w:r w:rsidR="006C45AC">
        <w:rPr>
          <w:rFonts w:ascii="Times New Roman" w:hAnsi="Times New Roman"/>
          <w:sz w:val="20"/>
        </w:rPr>
        <w:t>maja</w:t>
      </w:r>
      <w:r w:rsidR="009922DE" w:rsidRPr="00267B4D">
        <w:rPr>
          <w:rFonts w:ascii="Times New Roman" w:hAnsi="Times New Roman"/>
          <w:sz w:val="20"/>
        </w:rPr>
        <w:t xml:space="preserve"> </w:t>
      </w:r>
    </w:p>
    <w:p w14:paraId="4B5719A7" w14:textId="17DF3204" w:rsidR="00B917A2" w:rsidRPr="00FC6F71" w:rsidRDefault="00CC4075" w:rsidP="00D7590D">
      <w:pPr>
        <w:ind w:firstLine="0"/>
        <w:jc w:val="center"/>
        <w:rPr>
          <w:rFonts w:ascii="Times New Roman" w:hAnsi="Times New Roman"/>
          <w:b/>
          <w:bCs/>
          <w:sz w:val="28"/>
          <w:szCs w:val="28"/>
        </w:rPr>
      </w:pPr>
      <w:r>
        <w:rPr>
          <w:rFonts w:ascii="Times New Roman" w:hAnsi="Times New Roman"/>
          <w:b/>
          <w:bCs/>
          <w:sz w:val="28"/>
          <w:szCs w:val="28"/>
        </w:rPr>
        <w:t>ŚWIATŁO ZE ŚWIĄTYNI</w:t>
      </w:r>
    </w:p>
    <w:p w14:paraId="688E7DF8" w14:textId="77777777" w:rsidR="00CC4075" w:rsidRPr="00074492" w:rsidRDefault="00CC4075" w:rsidP="00CC4075">
      <w:pPr>
        <w:rPr>
          <w:rFonts w:ascii="Times New Roman" w:hAnsi="Times New Roman"/>
          <w:sz w:val="20"/>
        </w:rPr>
      </w:pPr>
      <w:r w:rsidRPr="00074492">
        <w:rPr>
          <w:rFonts w:ascii="Times New Roman" w:hAnsi="Times New Roman"/>
          <w:b/>
          <w:sz w:val="20"/>
        </w:rPr>
        <w:t>Część I: Przegląd</w:t>
      </w:r>
    </w:p>
    <w:p w14:paraId="3D838DFA" w14:textId="77777777" w:rsidR="00CC4075" w:rsidRPr="00074492" w:rsidRDefault="00CC4075" w:rsidP="00CC4075">
      <w:pPr>
        <w:rPr>
          <w:rFonts w:ascii="Times New Roman" w:hAnsi="Times New Roman"/>
          <w:sz w:val="20"/>
        </w:rPr>
      </w:pPr>
    </w:p>
    <w:p w14:paraId="7AEA8576" w14:textId="77777777" w:rsidR="00CC4075" w:rsidRPr="00074492" w:rsidRDefault="00CC4075" w:rsidP="00CC4075">
      <w:pPr>
        <w:rPr>
          <w:rFonts w:ascii="Times New Roman" w:hAnsi="Times New Roman"/>
          <w:b/>
          <w:bCs/>
          <w:sz w:val="20"/>
        </w:rPr>
      </w:pPr>
      <w:r w:rsidRPr="00074492">
        <w:rPr>
          <w:rFonts w:ascii="Times New Roman" w:hAnsi="Times New Roman"/>
          <w:b/>
          <w:bCs/>
          <w:sz w:val="20"/>
        </w:rPr>
        <w:t xml:space="preserve">Tekst przewodni: </w:t>
      </w:r>
      <w:proofErr w:type="spellStart"/>
      <w:r w:rsidRPr="00074492">
        <w:rPr>
          <w:rFonts w:ascii="Times New Roman" w:hAnsi="Times New Roman"/>
          <w:b/>
          <w:bCs/>
          <w:sz w:val="20"/>
        </w:rPr>
        <w:t>Hbr</w:t>
      </w:r>
      <w:proofErr w:type="spellEnd"/>
      <w:r w:rsidRPr="00074492">
        <w:rPr>
          <w:rFonts w:ascii="Times New Roman" w:hAnsi="Times New Roman"/>
          <w:b/>
          <w:bCs/>
          <w:sz w:val="20"/>
        </w:rPr>
        <w:t> 8,1-2.</w:t>
      </w:r>
    </w:p>
    <w:p w14:paraId="120EF150" w14:textId="77777777" w:rsidR="00CC4075" w:rsidRPr="00074492" w:rsidRDefault="00CC4075" w:rsidP="00CC4075">
      <w:pPr>
        <w:rPr>
          <w:rFonts w:ascii="Times New Roman" w:hAnsi="Times New Roman"/>
          <w:sz w:val="20"/>
        </w:rPr>
      </w:pPr>
    </w:p>
    <w:p w14:paraId="624C3DD6" w14:textId="77777777" w:rsidR="00CC4075" w:rsidRPr="00074492" w:rsidRDefault="00CC4075" w:rsidP="00CC4075">
      <w:pPr>
        <w:rPr>
          <w:rFonts w:ascii="Times New Roman" w:hAnsi="Times New Roman"/>
          <w:iCs/>
          <w:sz w:val="20"/>
        </w:rPr>
      </w:pPr>
      <w:r w:rsidRPr="00074492">
        <w:rPr>
          <w:rFonts w:ascii="Times New Roman" w:hAnsi="Times New Roman"/>
          <w:b/>
          <w:bCs/>
          <w:sz w:val="20"/>
        </w:rPr>
        <w:t xml:space="preserve">Zakres studium: </w:t>
      </w:r>
      <w:proofErr w:type="spellStart"/>
      <w:r w:rsidRPr="00074492">
        <w:rPr>
          <w:rFonts w:ascii="Times New Roman" w:hAnsi="Times New Roman"/>
          <w:iCs/>
          <w:sz w:val="20"/>
        </w:rPr>
        <w:t>Wj</w:t>
      </w:r>
      <w:proofErr w:type="spellEnd"/>
      <w:r w:rsidRPr="00074492">
        <w:rPr>
          <w:rFonts w:ascii="Times New Roman" w:hAnsi="Times New Roman"/>
          <w:iCs/>
          <w:sz w:val="20"/>
        </w:rPr>
        <w:t xml:space="preserve"> 25,8-9.40; </w:t>
      </w:r>
      <w:proofErr w:type="spellStart"/>
      <w:r w:rsidRPr="00074492">
        <w:rPr>
          <w:rFonts w:ascii="Times New Roman" w:hAnsi="Times New Roman"/>
          <w:iCs/>
          <w:sz w:val="20"/>
        </w:rPr>
        <w:t>Hbr</w:t>
      </w:r>
      <w:proofErr w:type="spellEnd"/>
      <w:r w:rsidRPr="00074492">
        <w:rPr>
          <w:rFonts w:ascii="Times New Roman" w:hAnsi="Times New Roman"/>
          <w:iCs/>
          <w:sz w:val="20"/>
        </w:rPr>
        <w:t xml:space="preserve"> 8,1-6; Mt 25,1-10; </w:t>
      </w:r>
      <w:proofErr w:type="spellStart"/>
      <w:r w:rsidRPr="00074492">
        <w:rPr>
          <w:rFonts w:ascii="Times New Roman" w:hAnsi="Times New Roman"/>
          <w:iCs/>
          <w:sz w:val="20"/>
        </w:rPr>
        <w:t>Dn</w:t>
      </w:r>
      <w:proofErr w:type="spellEnd"/>
      <w:r w:rsidRPr="00074492">
        <w:rPr>
          <w:rFonts w:ascii="Times New Roman" w:hAnsi="Times New Roman"/>
          <w:iCs/>
          <w:sz w:val="20"/>
        </w:rPr>
        <w:t xml:space="preserve"> 7,9-10; </w:t>
      </w:r>
      <w:proofErr w:type="spellStart"/>
      <w:r w:rsidRPr="00074492">
        <w:rPr>
          <w:rFonts w:ascii="Times New Roman" w:hAnsi="Times New Roman"/>
          <w:iCs/>
          <w:sz w:val="20"/>
        </w:rPr>
        <w:t>Hbr</w:t>
      </w:r>
      <w:proofErr w:type="spellEnd"/>
      <w:r w:rsidRPr="00074492">
        <w:rPr>
          <w:rFonts w:ascii="Times New Roman" w:hAnsi="Times New Roman"/>
          <w:iCs/>
          <w:sz w:val="20"/>
        </w:rPr>
        <w:t xml:space="preserve"> 8,1-5; 9,23-28; </w:t>
      </w:r>
      <w:proofErr w:type="spellStart"/>
      <w:r w:rsidRPr="00074492">
        <w:rPr>
          <w:rFonts w:ascii="Times New Roman" w:hAnsi="Times New Roman"/>
          <w:iCs/>
          <w:sz w:val="20"/>
        </w:rPr>
        <w:t>Ap</w:t>
      </w:r>
      <w:proofErr w:type="spellEnd"/>
      <w:r w:rsidRPr="00074492">
        <w:rPr>
          <w:rFonts w:ascii="Times New Roman" w:hAnsi="Times New Roman"/>
          <w:iCs/>
          <w:sz w:val="20"/>
        </w:rPr>
        <w:t xml:space="preserve"> 11,19; </w:t>
      </w:r>
      <w:proofErr w:type="spellStart"/>
      <w:r w:rsidRPr="00074492">
        <w:rPr>
          <w:rFonts w:ascii="Times New Roman" w:hAnsi="Times New Roman"/>
          <w:iCs/>
          <w:sz w:val="20"/>
        </w:rPr>
        <w:t>Hbr</w:t>
      </w:r>
      <w:proofErr w:type="spellEnd"/>
      <w:r w:rsidRPr="00074492">
        <w:rPr>
          <w:rFonts w:ascii="Times New Roman" w:hAnsi="Times New Roman"/>
          <w:iCs/>
          <w:sz w:val="20"/>
        </w:rPr>
        <w:t xml:space="preserve"> 10,16; </w:t>
      </w:r>
      <w:proofErr w:type="spellStart"/>
      <w:r w:rsidRPr="00074492">
        <w:rPr>
          <w:rFonts w:ascii="Times New Roman" w:hAnsi="Times New Roman"/>
          <w:iCs/>
          <w:sz w:val="20"/>
        </w:rPr>
        <w:t>Kpł</w:t>
      </w:r>
      <w:proofErr w:type="spellEnd"/>
      <w:r w:rsidRPr="00074492">
        <w:rPr>
          <w:rFonts w:ascii="Times New Roman" w:hAnsi="Times New Roman"/>
          <w:iCs/>
          <w:sz w:val="20"/>
        </w:rPr>
        <w:t> 16,21.29-34; 23,26-32.</w:t>
      </w:r>
    </w:p>
    <w:p w14:paraId="21ED284A" w14:textId="77777777" w:rsidR="00CC4075" w:rsidRPr="00074492" w:rsidRDefault="00CC4075" w:rsidP="00CC4075">
      <w:pPr>
        <w:rPr>
          <w:rFonts w:ascii="Times New Roman" w:hAnsi="Times New Roman"/>
          <w:sz w:val="20"/>
        </w:rPr>
      </w:pPr>
    </w:p>
    <w:p w14:paraId="222F67CA" w14:textId="5A3999F3" w:rsidR="00CC4075" w:rsidRPr="00074492" w:rsidRDefault="00CC4075" w:rsidP="00CC4075">
      <w:pPr>
        <w:rPr>
          <w:rFonts w:ascii="Times New Roman" w:hAnsi="Times New Roman"/>
          <w:iCs/>
          <w:sz w:val="20"/>
        </w:rPr>
      </w:pPr>
      <w:r w:rsidRPr="00074492">
        <w:rPr>
          <w:rFonts w:ascii="Times New Roman" w:hAnsi="Times New Roman"/>
          <w:b/>
          <w:bCs/>
          <w:sz w:val="20"/>
        </w:rPr>
        <w:t xml:space="preserve">Wprowadzenie: </w:t>
      </w:r>
      <w:r w:rsidRPr="00074492">
        <w:rPr>
          <w:rFonts w:ascii="Times New Roman" w:hAnsi="Times New Roman"/>
          <w:sz w:val="20"/>
        </w:rPr>
        <w:t xml:space="preserve">Temat świątyni jest tak wyraźnie zaznaczony zarówno w </w:t>
      </w:r>
      <w:r w:rsidRPr="00074492">
        <w:rPr>
          <w:rFonts w:ascii="Times New Roman" w:hAnsi="Times New Roman"/>
          <w:i/>
          <w:sz w:val="20"/>
        </w:rPr>
        <w:t>Starym Testamencie</w:t>
      </w:r>
      <w:r w:rsidRPr="00074492">
        <w:rPr>
          <w:rFonts w:ascii="Times New Roman" w:hAnsi="Times New Roman"/>
          <w:iCs/>
          <w:sz w:val="20"/>
        </w:rPr>
        <w:t xml:space="preserve"> jak i</w:t>
      </w:r>
      <w:r w:rsidR="00C3394B">
        <w:rPr>
          <w:rFonts w:ascii="Times New Roman" w:hAnsi="Times New Roman"/>
          <w:iCs/>
          <w:sz w:val="20"/>
        </w:rPr>
        <w:t> </w:t>
      </w:r>
      <w:r w:rsidRPr="00074492">
        <w:rPr>
          <w:rFonts w:ascii="Times New Roman" w:hAnsi="Times New Roman"/>
          <w:i/>
          <w:sz w:val="20"/>
        </w:rPr>
        <w:t>Nowym Testamencie</w:t>
      </w:r>
      <w:r w:rsidRPr="00074492">
        <w:rPr>
          <w:rFonts w:ascii="Times New Roman" w:hAnsi="Times New Roman"/>
          <w:iCs/>
          <w:sz w:val="20"/>
        </w:rPr>
        <w:t>, iż jako zupełnie zdumiewający jawi się fakt, iż wielu chrześcijan nie ma pojęcia o istnieniu niebiańskiej świątyni. Tymczasem prawda o niebiańskiej świątyni jest nie tylko ważną biblijną doktryną, ale także centralnym wątkiem biblijnej teologii łączącym wiele różnych prawd wiary, takich jak:</w:t>
      </w:r>
    </w:p>
    <w:p w14:paraId="0FAD801C" w14:textId="77777777" w:rsidR="00CC4075" w:rsidRPr="00074492" w:rsidRDefault="00CC4075" w:rsidP="00CC4075">
      <w:pPr>
        <w:rPr>
          <w:rFonts w:ascii="Times New Roman" w:hAnsi="Times New Roman"/>
          <w:bCs/>
          <w:sz w:val="20"/>
        </w:rPr>
      </w:pPr>
      <w:r w:rsidRPr="00074492">
        <w:rPr>
          <w:rFonts w:ascii="Times New Roman" w:hAnsi="Times New Roman"/>
          <w:bCs/>
          <w:sz w:val="20"/>
        </w:rPr>
        <w:t>• nauka o Bogu, Jego charakterze, stworzeniu, działaniu i panowaniu,</w:t>
      </w:r>
    </w:p>
    <w:p w14:paraId="0E186FD7" w14:textId="77777777" w:rsidR="00CC4075" w:rsidRPr="00074492" w:rsidRDefault="00CC4075" w:rsidP="00CC4075">
      <w:pPr>
        <w:rPr>
          <w:rFonts w:ascii="Times New Roman" w:hAnsi="Times New Roman"/>
          <w:bCs/>
          <w:sz w:val="20"/>
        </w:rPr>
      </w:pPr>
      <w:r w:rsidRPr="00074492">
        <w:rPr>
          <w:rFonts w:ascii="Times New Roman" w:hAnsi="Times New Roman"/>
          <w:bCs/>
          <w:sz w:val="20"/>
        </w:rPr>
        <w:t>• nauka o pochodzeniu zła i wielkim boju,</w:t>
      </w:r>
    </w:p>
    <w:p w14:paraId="5A875163" w14:textId="77777777" w:rsidR="00CC4075" w:rsidRPr="00074492" w:rsidRDefault="00CC4075" w:rsidP="00CC4075">
      <w:pPr>
        <w:rPr>
          <w:rFonts w:ascii="Times New Roman" w:hAnsi="Times New Roman"/>
          <w:bCs/>
          <w:sz w:val="20"/>
        </w:rPr>
      </w:pPr>
      <w:r w:rsidRPr="00074492">
        <w:rPr>
          <w:rFonts w:ascii="Times New Roman" w:hAnsi="Times New Roman"/>
          <w:bCs/>
          <w:sz w:val="20"/>
        </w:rPr>
        <w:t>• nauka o Chrystusie, Jego pierwszym przyjściu na Ziemię, Jego inkarnacji, życiu, służbie, śmierci, zmartwychwstaniu i wniebowstąpieniu,</w:t>
      </w:r>
    </w:p>
    <w:p w14:paraId="144A2B58" w14:textId="77777777" w:rsidR="00CC4075" w:rsidRPr="00074492" w:rsidRDefault="00CC4075" w:rsidP="00CC4075">
      <w:pPr>
        <w:rPr>
          <w:rFonts w:ascii="Times New Roman" w:hAnsi="Times New Roman"/>
          <w:bCs/>
          <w:sz w:val="20"/>
        </w:rPr>
      </w:pPr>
      <w:r w:rsidRPr="00074492">
        <w:rPr>
          <w:rFonts w:ascii="Times New Roman" w:hAnsi="Times New Roman"/>
          <w:bCs/>
          <w:sz w:val="20"/>
        </w:rPr>
        <w:t>• nauka o zbawieniu w Chrystusie,</w:t>
      </w:r>
    </w:p>
    <w:p w14:paraId="7C6D836A" w14:textId="77777777" w:rsidR="00CC4075" w:rsidRPr="00074492" w:rsidRDefault="00CC4075" w:rsidP="00CC4075">
      <w:pPr>
        <w:rPr>
          <w:rFonts w:ascii="Times New Roman" w:hAnsi="Times New Roman"/>
          <w:bCs/>
          <w:sz w:val="20"/>
        </w:rPr>
      </w:pPr>
      <w:r w:rsidRPr="00074492">
        <w:rPr>
          <w:rFonts w:ascii="Times New Roman" w:hAnsi="Times New Roman"/>
          <w:bCs/>
          <w:sz w:val="20"/>
        </w:rPr>
        <w:t>• nauka o rzeczach ostatecznych, powtórnym przyjściu Chrystusa, sądzie ostatecznym i odrodzeniu wszechrzeczy,</w:t>
      </w:r>
    </w:p>
    <w:p w14:paraId="10577F68" w14:textId="77777777" w:rsidR="00CC4075" w:rsidRPr="00074492" w:rsidRDefault="00CC4075" w:rsidP="00CC4075">
      <w:pPr>
        <w:rPr>
          <w:rFonts w:ascii="Times New Roman" w:hAnsi="Times New Roman"/>
          <w:bCs/>
          <w:sz w:val="20"/>
        </w:rPr>
      </w:pPr>
      <w:r w:rsidRPr="00074492">
        <w:rPr>
          <w:rFonts w:ascii="Times New Roman" w:hAnsi="Times New Roman"/>
          <w:bCs/>
          <w:sz w:val="20"/>
        </w:rPr>
        <w:t>• nauka o Kościele, w tym zwłaszcza Kościele Ostatków w czasie końca, tuż przed powtórnym przyjściem Jezusa.</w:t>
      </w:r>
    </w:p>
    <w:p w14:paraId="07BF830A" w14:textId="77777777" w:rsidR="00CC4075" w:rsidRPr="00074492" w:rsidRDefault="00CC4075" w:rsidP="00CC4075">
      <w:pPr>
        <w:rPr>
          <w:rFonts w:ascii="Times New Roman" w:hAnsi="Times New Roman"/>
          <w:bCs/>
          <w:sz w:val="20"/>
        </w:rPr>
      </w:pPr>
      <w:r w:rsidRPr="00074492">
        <w:rPr>
          <w:rFonts w:ascii="Times New Roman" w:hAnsi="Times New Roman"/>
          <w:bCs/>
          <w:sz w:val="20"/>
        </w:rPr>
        <w:t xml:space="preserve">Najdłuższy proroczy okres w </w:t>
      </w:r>
      <w:r w:rsidRPr="00074492">
        <w:rPr>
          <w:rFonts w:ascii="Times New Roman" w:hAnsi="Times New Roman"/>
          <w:bCs/>
          <w:i/>
          <w:iCs/>
          <w:sz w:val="20"/>
        </w:rPr>
        <w:t>Biblii</w:t>
      </w:r>
      <w:r w:rsidRPr="00074492">
        <w:rPr>
          <w:rFonts w:ascii="Times New Roman" w:hAnsi="Times New Roman"/>
          <w:bCs/>
          <w:sz w:val="20"/>
        </w:rPr>
        <w:t xml:space="preserve"> - 2300 lat z </w:t>
      </w:r>
      <w:proofErr w:type="spellStart"/>
      <w:r w:rsidRPr="00074492">
        <w:rPr>
          <w:rFonts w:ascii="Times New Roman" w:hAnsi="Times New Roman"/>
          <w:bCs/>
          <w:sz w:val="20"/>
        </w:rPr>
        <w:t>Dn</w:t>
      </w:r>
      <w:proofErr w:type="spellEnd"/>
      <w:r w:rsidRPr="00074492">
        <w:rPr>
          <w:rFonts w:ascii="Times New Roman" w:hAnsi="Times New Roman"/>
          <w:bCs/>
          <w:sz w:val="20"/>
        </w:rPr>
        <w:t> 8,14 - dotyczy niebiańskiej świątyni w kontekście wielkiego boju. To proroctwo informuje nas zarówno o ataku na niebiańską świątynię, jak również jej oczyszczeniu w ramach sądu Bożego i odrodzenia wszystkiego. Adwentyści rozważają to proroctwo nie jako biblijną abstrakcję nie mającą związku z rzeczywistością. Rozumieją, że proroctwo to miało historyczne wypełnienie, a okres 2300 lat dobiegł końca jesienią 1844 roku. Wypełnienie tego proroctwa stanowi wezwanie dla wszystkich ludzi żyjących w obecnym czasie próby, by przyjęli pojednanie oferowane przez Jezusa i wyznali swoje grzechy, zanim zakończy się Jego dzieło pośrednictwa w niebiańskiej świątyni.</w:t>
      </w:r>
    </w:p>
    <w:p w14:paraId="5912CA55" w14:textId="77777777" w:rsidR="00CC4075" w:rsidRPr="00074492" w:rsidRDefault="00CC4075" w:rsidP="00CC4075">
      <w:pPr>
        <w:rPr>
          <w:rFonts w:ascii="Times New Roman" w:hAnsi="Times New Roman"/>
          <w:bCs/>
          <w:sz w:val="20"/>
        </w:rPr>
      </w:pPr>
      <w:r w:rsidRPr="00074492">
        <w:rPr>
          <w:rFonts w:ascii="Times New Roman" w:hAnsi="Times New Roman"/>
          <w:bCs/>
          <w:sz w:val="20"/>
        </w:rPr>
        <w:t xml:space="preserve">Wypełnienie proroctwa o 2300 „dniach” ma szczególne znaczenie dla adwentystów, którzy rozumieją, że Bóg powołał ich jako swój Kościół Ostatków, by ogłosili światu wypełnienie tego proroctwa, powtórne przyjście Jezusa oraz rychłe zakończenie wielkiego boju. Zatem przesłanie związane z proroctwem o 2300 „dniach” jest w gruncie rzeczy „ewangelią wieczną” </w:t>
      </w:r>
      <w:r w:rsidRPr="00074492">
        <w:rPr>
          <w:rFonts w:ascii="Times New Roman" w:hAnsi="Times New Roman"/>
          <w:iCs/>
          <w:sz w:val="20"/>
        </w:rPr>
        <w:t>(</w:t>
      </w:r>
      <w:proofErr w:type="spellStart"/>
      <w:r w:rsidRPr="00074492">
        <w:rPr>
          <w:rFonts w:ascii="Times New Roman" w:hAnsi="Times New Roman"/>
          <w:iCs/>
          <w:sz w:val="20"/>
        </w:rPr>
        <w:t>Ap</w:t>
      </w:r>
      <w:proofErr w:type="spellEnd"/>
      <w:r w:rsidRPr="00074492">
        <w:rPr>
          <w:rFonts w:ascii="Times New Roman" w:hAnsi="Times New Roman"/>
          <w:iCs/>
          <w:sz w:val="20"/>
        </w:rPr>
        <w:t> 14,6)</w:t>
      </w:r>
      <w:r w:rsidRPr="00074492">
        <w:rPr>
          <w:rFonts w:ascii="Times New Roman" w:hAnsi="Times New Roman"/>
          <w:bCs/>
          <w:sz w:val="20"/>
        </w:rPr>
        <w:t xml:space="preserve">. Dobrą nowiną w kontekście </w:t>
      </w:r>
      <w:proofErr w:type="spellStart"/>
      <w:r w:rsidRPr="00074492">
        <w:rPr>
          <w:rFonts w:ascii="Times New Roman" w:hAnsi="Times New Roman"/>
          <w:bCs/>
          <w:sz w:val="20"/>
        </w:rPr>
        <w:t>trójanielskiego</w:t>
      </w:r>
      <w:proofErr w:type="spellEnd"/>
      <w:r w:rsidRPr="00074492">
        <w:rPr>
          <w:rFonts w:ascii="Times New Roman" w:hAnsi="Times New Roman"/>
          <w:bCs/>
          <w:sz w:val="20"/>
        </w:rPr>
        <w:t xml:space="preserve"> poselstwa jest to, że Bóg w swej miłości wzywa całą ludzkość do nawrócenia. Zaprasza grzeszników na całym świecie, by zwrócili się do Niego, aby byli zbawieni przez krew Jezusa i Jego pośrednictwo w niebiańskiej świątyni.</w:t>
      </w:r>
    </w:p>
    <w:p w14:paraId="40E90575" w14:textId="77777777" w:rsidR="00CC4075" w:rsidRPr="00074492" w:rsidRDefault="00CC4075" w:rsidP="00CC4075">
      <w:pPr>
        <w:rPr>
          <w:rFonts w:ascii="Times New Roman" w:hAnsi="Times New Roman"/>
          <w:bCs/>
          <w:sz w:val="20"/>
        </w:rPr>
      </w:pPr>
    </w:p>
    <w:p w14:paraId="46832688" w14:textId="77777777" w:rsidR="00CC4075" w:rsidRPr="00074492" w:rsidRDefault="00CC4075" w:rsidP="00CC4075">
      <w:pPr>
        <w:rPr>
          <w:rFonts w:ascii="Times New Roman" w:hAnsi="Times New Roman"/>
          <w:b/>
          <w:bCs/>
          <w:sz w:val="20"/>
        </w:rPr>
      </w:pPr>
      <w:r w:rsidRPr="00074492">
        <w:rPr>
          <w:rFonts w:ascii="Times New Roman" w:hAnsi="Times New Roman"/>
          <w:b/>
          <w:bCs/>
          <w:sz w:val="20"/>
        </w:rPr>
        <w:t>Tematy lekcji</w:t>
      </w:r>
    </w:p>
    <w:p w14:paraId="3069FEC2" w14:textId="77777777" w:rsidR="00CC4075" w:rsidRPr="00074492" w:rsidRDefault="00CC4075" w:rsidP="00CC4075">
      <w:pPr>
        <w:rPr>
          <w:rFonts w:ascii="Times New Roman" w:hAnsi="Times New Roman"/>
          <w:bCs/>
          <w:sz w:val="20"/>
        </w:rPr>
      </w:pPr>
      <w:r w:rsidRPr="00074492">
        <w:rPr>
          <w:rFonts w:ascii="Times New Roman" w:hAnsi="Times New Roman"/>
          <w:bCs/>
          <w:sz w:val="20"/>
        </w:rPr>
        <w:t>Ta lekcja podkreśla trzy zasadnicze tematy:</w:t>
      </w:r>
    </w:p>
    <w:p w14:paraId="6D5F19A9" w14:textId="77777777" w:rsidR="00CC4075" w:rsidRPr="00074492" w:rsidRDefault="00CC4075" w:rsidP="00CC4075">
      <w:pPr>
        <w:rPr>
          <w:rFonts w:ascii="Times New Roman" w:hAnsi="Times New Roman"/>
          <w:bCs/>
          <w:sz w:val="20"/>
        </w:rPr>
      </w:pPr>
      <w:r w:rsidRPr="00074492">
        <w:rPr>
          <w:rFonts w:ascii="Times New Roman" w:hAnsi="Times New Roman"/>
          <w:bCs/>
          <w:sz w:val="20"/>
        </w:rPr>
        <w:t>1. Ziemska świątynia starotestamentowa nie była elementem kultury Izraelitów, ale z Bożego ustanowienia wskazywała na niebiańską świątynię i służbę Jezusa dla ludzkości.</w:t>
      </w:r>
    </w:p>
    <w:p w14:paraId="746869A5" w14:textId="77777777" w:rsidR="00CC4075" w:rsidRPr="00074492" w:rsidRDefault="00CC4075" w:rsidP="00CC4075">
      <w:pPr>
        <w:rPr>
          <w:rFonts w:ascii="Times New Roman" w:hAnsi="Times New Roman"/>
          <w:bCs/>
          <w:sz w:val="20"/>
        </w:rPr>
      </w:pPr>
      <w:r w:rsidRPr="00074492">
        <w:rPr>
          <w:rFonts w:ascii="Times New Roman" w:hAnsi="Times New Roman"/>
          <w:bCs/>
          <w:sz w:val="20"/>
        </w:rPr>
        <w:t>2. Niebiańska świątynia jest nierozerwalnie związana z powszechną i wieczną ewangelią, zbawieniem ludzkości i misją Kościoła.</w:t>
      </w:r>
    </w:p>
    <w:p w14:paraId="64A9C584" w14:textId="77777777" w:rsidR="00CC4075" w:rsidRPr="00074492" w:rsidRDefault="00CC4075" w:rsidP="00CC4075">
      <w:pPr>
        <w:rPr>
          <w:rFonts w:ascii="Times New Roman" w:hAnsi="Times New Roman"/>
          <w:bCs/>
          <w:sz w:val="20"/>
        </w:rPr>
      </w:pPr>
    </w:p>
    <w:p w14:paraId="600B4C6A" w14:textId="77777777" w:rsidR="00CC4075" w:rsidRPr="00074492" w:rsidRDefault="00CC4075" w:rsidP="00CC4075">
      <w:pPr>
        <w:rPr>
          <w:rFonts w:ascii="Times New Roman" w:hAnsi="Times New Roman"/>
          <w:sz w:val="20"/>
        </w:rPr>
      </w:pPr>
      <w:r w:rsidRPr="00074492">
        <w:rPr>
          <w:rFonts w:ascii="Times New Roman" w:hAnsi="Times New Roman"/>
          <w:b/>
          <w:sz w:val="20"/>
        </w:rPr>
        <w:t>Część II: Komentarz</w:t>
      </w:r>
    </w:p>
    <w:p w14:paraId="2C7F7B31" w14:textId="77777777" w:rsidR="00CC4075" w:rsidRPr="00074492" w:rsidRDefault="00CC4075" w:rsidP="00CC4075">
      <w:pPr>
        <w:rPr>
          <w:rFonts w:ascii="Times New Roman" w:hAnsi="Times New Roman"/>
          <w:sz w:val="20"/>
        </w:rPr>
      </w:pPr>
    </w:p>
    <w:p w14:paraId="31A5C3DE" w14:textId="77777777" w:rsidR="00CC4075" w:rsidRPr="00074492" w:rsidRDefault="00CC4075" w:rsidP="00CC4075">
      <w:pPr>
        <w:rPr>
          <w:rFonts w:ascii="Times New Roman" w:hAnsi="Times New Roman"/>
          <w:bCs/>
          <w:sz w:val="20"/>
        </w:rPr>
      </w:pPr>
      <w:r w:rsidRPr="00074492">
        <w:rPr>
          <w:rFonts w:ascii="Times New Roman" w:hAnsi="Times New Roman"/>
          <w:b/>
          <w:sz w:val="20"/>
        </w:rPr>
        <w:t>Zapieczętowanie proroctwa o 2300 latach</w:t>
      </w:r>
    </w:p>
    <w:p w14:paraId="3F57F6E9" w14:textId="77777777" w:rsidR="00CC4075" w:rsidRPr="00074492" w:rsidRDefault="00CC4075" w:rsidP="00CC4075">
      <w:pPr>
        <w:rPr>
          <w:rFonts w:ascii="Times New Roman" w:hAnsi="Times New Roman"/>
          <w:bCs/>
          <w:sz w:val="20"/>
        </w:rPr>
      </w:pPr>
      <w:r w:rsidRPr="00074492">
        <w:rPr>
          <w:rFonts w:ascii="Times New Roman" w:hAnsi="Times New Roman"/>
          <w:bCs/>
          <w:sz w:val="20"/>
        </w:rPr>
        <w:t xml:space="preserve">Zarówno pierwsze jak i powtórne przyjście Jezusa są ściśle związane ze świątynią - tą ziemską i tą niebiańską. Kiedy Maria i Józef przynieśli Jezusa do świątyni w Jerozolimie, Symeon i Anna pełnili tam swoją prorocką służbę </w:t>
      </w:r>
      <w:r w:rsidRPr="00074492">
        <w:rPr>
          <w:rFonts w:ascii="Times New Roman" w:hAnsi="Times New Roman"/>
          <w:iCs/>
          <w:sz w:val="20"/>
        </w:rPr>
        <w:t>(</w:t>
      </w:r>
      <w:proofErr w:type="spellStart"/>
      <w:r w:rsidRPr="00074492">
        <w:rPr>
          <w:rFonts w:ascii="Times New Roman" w:hAnsi="Times New Roman"/>
          <w:iCs/>
          <w:sz w:val="20"/>
        </w:rPr>
        <w:t>Łk</w:t>
      </w:r>
      <w:proofErr w:type="spellEnd"/>
      <w:r w:rsidRPr="00074492">
        <w:rPr>
          <w:rFonts w:ascii="Times New Roman" w:hAnsi="Times New Roman"/>
          <w:iCs/>
          <w:sz w:val="20"/>
        </w:rPr>
        <w:t> 2,25-38)</w:t>
      </w:r>
      <w:r w:rsidRPr="00074492">
        <w:rPr>
          <w:rFonts w:ascii="Times New Roman" w:hAnsi="Times New Roman"/>
          <w:bCs/>
          <w:sz w:val="20"/>
        </w:rPr>
        <w:t>. Wiedzieli, że Mesjasz przybędzie do świątyni. Dlatego Łukasz sprawozdaje, że czekając na spełnienie obietnicy przyjścia Mesjasza Symeon „</w:t>
      </w:r>
      <w:r w:rsidRPr="00074492">
        <w:rPr>
          <w:rFonts w:ascii="Times New Roman" w:hAnsi="Times New Roman"/>
          <w:color w:val="000000"/>
          <w:sz w:val="20"/>
        </w:rPr>
        <w:t>przyszedł (...) z natchnienia Ducha do świątyni</w:t>
      </w:r>
      <w:r w:rsidRPr="00074492">
        <w:rPr>
          <w:rFonts w:ascii="Times New Roman" w:hAnsi="Times New Roman"/>
          <w:bCs/>
          <w:sz w:val="20"/>
        </w:rPr>
        <w:t xml:space="preserve">”, by spotkać Jezusa </w:t>
      </w:r>
      <w:r w:rsidRPr="00074492">
        <w:rPr>
          <w:rFonts w:ascii="Times New Roman" w:hAnsi="Times New Roman"/>
          <w:iCs/>
          <w:sz w:val="20"/>
        </w:rPr>
        <w:t>(</w:t>
      </w:r>
      <w:proofErr w:type="spellStart"/>
      <w:r w:rsidRPr="00074492">
        <w:rPr>
          <w:rFonts w:ascii="Times New Roman" w:hAnsi="Times New Roman"/>
          <w:iCs/>
          <w:sz w:val="20"/>
        </w:rPr>
        <w:t>Łk</w:t>
      </w:r>
      <w:proofErr w:type="spellEnd"/>
      <w:r w:rsidRPr="00074492">
        <w:rPr>
          <w:rFonts w:ascii="Times New Roman" w:hAnsi="Times New Roman"/>
          <w:iCs/>
          <w:sz w:val="20"/>
        </w:rPr>
        <w:t> 2,27)</w:t>
      </w:r>
      <w:r w:rsidRPr="00074492">
        <w:rPr>
          <w:rFonts w:ascii="Times New Roman" w:hAnsi="Times New Roman"/>
          <w:bCs/>
          <w:sz w:val="20"/>
        </w:rPr>
        <w:t>, zaś prorokini Anna „</w:t>
      </w:r>
      <w:r w:rsidRPr="00074492">
        <w:rPr>
          <w:rFonts w:ascii="Times New Roman" w:hAnsi="Times New Roman"/>
          <w:color w:val="000000"/>
          <w:sz w:val="20"/>
        </w:rPr>
        <w:t>nie opuszczała świątyni</w:t>
      </w:r>
      <w:r w:rsidRPr="00074492">
        <w:rPr>
          <w:rFonts w:ascii="Times New Roman" w:hAnsi="Times New Roman"/>
          <w:bCs/>
          <w:sz w:val="20"/>
        </w:rPr>
        <w:t xml:space="preserve">” </w:t>
      </w:r>
      <w:r w:rsidRPr="00074492">
        <w:rPr>
          <w:rFonts w:ascii="Times New Roman" w:hAnsi="Times New Roman"/>
          <w:iCs/>
          <w:sz w:val="20"/>
        </w:rPr>
        <w:t>(</w:t>
      </w:r>
      <w:proofErr w:type="spellStart"/>
      <w:r w:rsidRPr="00074492">
        <w:rPr>
          <w:rFonts w:ascii="Times New Roman" w:hAnsi="Times New Roman"/>
          <w:iCs/>
          <w:sz w:val="20"/>
        </w:rPr>
        <w:t>Łk</w:t>
      </w:r>
      <w:proofErr w:type="spellEnd"/>
      <w:r w:rsidRPr="00074492">
        <w:rPr>
          <w:rFonts w:ascii="Times New Roman" w:hAnsi="Times New Roman"/>
          <w:iCs/>
          <w:sz w:val="20"/>
        </w:rPr>
        <w:t> 2,37)</w:t>
      </w:r>
      <w:r w:rsidRPr="00074492">
        <w:rPr>
          <w:rFonts w:ascii="Times New Roman" w:hAnsi="Times New Roman"/>
          <w:bCs/>
          <w:sz w:val="20"/>
        </w:rPr>
        <w:t>.</w:t>
      </w:r>
    </w:p>
    <w:p w14:paraId="2CA82BA0" w14:textId="77777777" w:rsidR="00CC4075" w:rsidRPr="00074492" w:rsidRDefault="00CC4075" w:rsidP="00CC4075">
      <w:pPr>
        <w:rPr>
          <w:rFonts w:ascii="Times New Roman" w:hAnsi="Times New Roman"/>
          <w:bCs/>
          <w:sz w:val="20"/>
        </w:rPr>
      </w:pPr>
      <w:r w:rsidRPr="00074492">
        <w:rPr>
          <w:rFonts w:ascii="Times New Roman" w:hAnsi="Times New Roman"/>
          <w:bCs/>
          <w:sz w:val="20"/>
        </w:rPr>
        <w:t xml:space="preserve">Zawierający najdłuższy proroczy okres w </w:t>
      </w:r>
      <w:r w:rsidRPr="00074492">
        <w:rPr>
          <w:rFonts w:ascii="Times New Roman" w:hAnsi="Times New Roman"/>
          <w:bCs/>
          <w:i/>
          <w:iCs/>
          <w:sz w:val="20"/>
        </w:rPr>
        <w:t>Biblii</w:t>
      </w:r>
      <w:r w:rsidRPr="00074492">
        <w:rPr>
          <w:rFonts w:ascii="Times New Roman" w:hAnsi="Times New Roman"/>
          <w:bCs/>
          <w:sz w:val="20"/>
        </w:rPr>
        <w:t xml:space="preserve"> proroctwo o 2300 latach </w:t>
      </w:r>
      <w:r w:rsidRPr="00074492">
        <w:rPr>
          <w:rFonts w:ascii="Times New Roman" w:hAnsi="Times New Roman"/>
          <w:iCs/>
          <w:sz w:val="20"/>
        </w:rPr>
        <w:t>(</w:t>
      </w:r>
      <w:proofErr w:type="spellStart"/>
      <w:r w:rsidRPr="00074492">
        <w:rPr>
          <w:rFonts w:ascii="Times New Roman" w:hAnsi="Times New Roman"/>
          <w:iCs/>
          <w:sz w:val="20"/>
        </w:rPr>
        <w:t>Dn</w:t>
      </w:r>
      <w:proofErr w:type="spellEnd"/>
      <w:r w:rsidRPr="00074492">
        <w:rPr>
          <w:rFonts w:ascii="Times New Roman" w:hAnsi="Times New Roman"/>
          <w:iCs/>
          <w:sz w:val="20"/>
        </w:rPr>
        <w:t xml:space="preserve"> 8,14) </w:t>
      </w:r>
      <w:r w:rsidRPr="00074492">
        <w:rPr>
          <w:rFonts w:ascii="Times New Roman" w:hAnsi="Times New Roman"/>
          <w:bCs/>
          <w:sz w:val="20"/>
        </w:rPr>
        <w:t xml:space="preserve">skupia się na niebiańskiej świątyni </w:t>
      </w:r>
      <w:r w:rsidRPr="00074492">
        <w:rPr>
          <w:rFonts w:ascii="Times New Roman" w:hAnsi="Times New Roman"/>
          <w:iCs/>
          <w:sz w:val="20"/>
        </w:rPr>
        <w:t>(</w:t>
      </w:r>
      <w:proofErr w:type="spellStart"/>
      <w:r w:rsidRPr="00074492">
        <w:rPr>
          <w:rFonts w:ascii="Times New Roman" w:hAnsi="Times New Roman"/>
          <w:iCs/>
          <w:sz w:val="20"/>
        </w:rPr>
        <w:t>Dn</w:t>
      </w:r>
      <w:proofErr w:type="spellEnd"/>
      <w:r w:rsidRPr="00074492">
        <w:rPr>
          <w:rFonts w:ascii="Times New Roman" w:hAnsi="Times New Roman"/>
          <w:iCs/>
          <w:sz w:val="20"/>
        </w:rPr>
        <w:t> 8,10-12)</w:t>
      </w:r>
      <w:r w:rsidRPr="00074492">
        <w:rPr>
          <w:rFonts w:ascii="Times New Roman" w:hAnsi="Times New Roman"/>
          <w:bCs/>
          <w:sz w:val="20"/>
        </w:rPr>
        <w:t xml:space="preserve">. To proroctwo zostało „zapieczętowane” czyli potwierdzone </w:t>
      </w:r>
      <w:r w:rsidRPr="00074492">
        <w:rPr>
          <w:rFonts w:ascii="Times New Roman" w:hAnsi="Times New Roman"/>
          <w:iCs/>
          <w:sz w:val="20"/>
        </w:rPr>
        <w:t>(</w:t>
      </w:r>
      <w:proofErr w:type="spellStart"/>
      <w:r w:rsidRPr="00074492">
        <w:rPr>
          <w:rFonts w:ascii="Times New Roman" w:hAnsi="Times New Roman"/>
          <w:iCs/>
          <w:sz w:val="20"/>
        </w:rPr>
        <w:t>Dn</w:t>
      </w:r>
      <w:proofErr w:type="spellEnd"/>
      <w:r w:rsidRPr="00074492">
        <w:rPr>
          <w:rFonts w:ascii="Times New Roman" w:hAnsi="Times New Roman"/>
          <w:iCs/>
          <w:sz w:val="20"/>
        </w:rPr>
        <w:t xml:space="preserve"> 9,24) </w:t>
      </w:r>
      <w:r w:rsidRPr="00074492">
        <w:rPr>
          <w:rFonts w:ascii="Times New Roman" w:hAnsi="Times New Roman"/>
          <w:bCs/>
          <w:sz w:val="20"/>
        </w:rPr>
        <w:t>przez pierwsze przyjście Jezusa do ziemskiej świątyni. Kiedy Daniel otrzymał proroctwo o 2300 latach, był „</w:t>
      </w:r>
      <w:r w:rsidRPr="00074492">
        <w:rPr>
          <w:rFonts w:ascii="Times New Roman" w:hAnsi="Times New Roman"/>
          <w:color w:val="000000"/>
          <w:sz w:val="20"/>
        </w:rPr>
        <w:t>zaniepokojony widzeniem i nie rozumiał go</w:t>
      </w:r>
      <w:r w:rsidRPr="00074492">
        <w:rPr>
          <w:rFonts w:ascii="Times New Roman" w:hAnsi="Times New Roman"/>
          <w:bCs/>
          <w:sz w:val="20"/>
        </w:rPr>
        <w:t xml:space="preserve">” </w:t>
      </w:r>
      <w:r w:rsidRPr="00074492">
        <w:rPr>
          <w:rFonts w:ascii="Times New Roman" w:hAnsi="Times New Roman"/>
          <w:iCs/>
          <w:sz w:val="20"/>
        </w:rPr>
        <w:t>(</w:t>
      </w:r>
      <w:proofErr w:type="spellStart"/>
      <w:r w:rsidRPr="00074492">
        <w:rPr>
          <w:rFonts w:ascii="Times New Roman" w:hAnsi="Times New Roman"/>
          <w:iCs/>
          <w:sz w:val="20"/>
        </w:rPr>
        <w:t>Dn</w:t>
      </w:r>
      <w:proofErr w:type="spellEnd"/>
      <w:r w:rsidRPr="00074492">
        <w:rPr>
          <w:rFonts w:ascii="Times New Roman" w:hAnsi="Times New Roman"/>
          <w:iCs/>
          <w:sz w:val="20"/>
        </w:rPr>
        <w:t> 8,27)</w:t>
      </w:r>
      <w:r w:rsidRPr="00074492">
        <w:rPr>
          <w:rFonts w:ascii="Times New Roman" w:hAnsi="Times New Roman"/>
          <w:bCs/>
          <w:sz w:val="20"/>
        </w:rPr>
        <w:t xml:space="preserve">. Zmuszony zaczekać kilka lat na wyjaśnienie tego widzenia, Daniel skupił uwagę na tym, co było dla niego zrozumiałe - proroctwie Jeremiasza o 70 latach „pustoszenia Jerozolimy” </w:t>
      </w:r>
      <w:r w:rsidRPr="00074492">
        <w:rPr>
          <w:rFonts w:ascii="Times New Roman" w:hAnsi="Times New Roman"/>
          <w:iCs/>
          <w:sz w:val="20"/>
        </w:rPr>
        <w:t>(</w:t>
      </w:r>
      <w:proofErr w:type="spellStart"/>
      <w:r w:rsidRPr="00074492">
        <w:rPr>
          <w:rFonts w:ascii="Times New Roman" w:hAnsi="Times New Roman"/>
          <w:iCs/>
          <w:sz w:val="20"/>
        </w:rPr>
        <w:t>Dn</w:t>
      </w:r>
      <w:proofErr w:type="spellEnd"/>
      <w:r w:rsidRPr="00074492">
        <w:rPr>
          <w:rFonts w:ascii="Times New Roman" w:hAnsi="Times New Roman"/>
          <w:iCs/>
          <w:sz w:val="20"/>
        </w:rPr>
        <w:t> 9,2; por. z Jr 25,11-12)</w:t>
      </w:r>
      <w:r w:rsidRPr="00074492">
        <w:rPr>
          <w:rFonts w:ascii="Times New Roman" w:hAnsi="Times New Roman"/>
          <w:bCs/>
          <w:sz w:val="20"/>
        </w:rPr>
        <w:t>.</w:t>
      </w:r>
    </w:p>
    <w:p w14:paraId="4A9E70F1" w14:textId="77777777" w:rsidR="00CC4075" w:rsidRPr="00074492" w:rsidRDefault="00CC4075" w:rsidP="00CC4075">
      <w:pPr>
        <w:rPr>
          <w:rFonts w:ascii="Times New Roman" w:hAnsi="Times New Roman"/>
          <w:bCs/>
          <w:sz w:val="20"/>
        </w:rPr>
      </w:pPr>
      <w:r w:rsidRPr="00074492">
        <w:rPr>
          <w:rFonts w:ascii="Times New Roman" w:hAnsi="Times New Roman"/>
          <w:bCs/>
          <w:sz w:val="20"/>
        </w:rPr>
        <w:t xml:space="preserve">Daniel modlił się o Bożą interwencję w celu wypełnienia proroctwa Jeremiasza o 70 latach. Błagał Najwyższego, by odkupił swój lud </w:t>
      </w:r>
      <w:r w:rsidRPr="00074492">
        <w:rPr>
          <w:rFonts w:ascii="Times New Roman" w:hAnsi="Times New Roman"/>
          <w:iCs/>
          <w:sz w:val="20"/>
        </w:rPr>
        <w:t>(</w:t>
      </w:r>
      <w:proofErr w:type="spellStart"/>
      <w:r w:rsidRPr="00074492">
        <w:rPr>
          <w:rFonts w:ascii="Times New Roman" w:hAnsi="Times New Roman"/>
          <w:iCs/>
          <w:sz w:val="20"/>
        </w:rPr>
        <w:t>Dn</w:t>
      </w:r>
      <w:proofErr w:type="spellEnd"/>
      <w:r w:rsidRPr="00074492">
        <w:rPr>
          <w:rFonts w:ascii="Times New Roman" w:hAnsi="Times New Roman"/>
          <w:iCs/>
          <w:sz w:val="20"/>
        </w:rPr>
        <w:t xml:space="preserve"> 9,3-19) </w:t>
      </w:r>
      <w:r w:rsidRPr="00074492">
        <w:rPr>
          <w:rFonts w:ascii="Times New Roman" w:hAnsi="Times New Roman"/>
          <w:bCs/>
          <w:sz w:val="20"/>
        </w:rPr>
        <w:t>i „</w:t>
      </w:r>
      <w:r w:rsidRPr="00074492">
        <w:rPr>
          <w:rFonts w:ascii="Times New Roman" w:hAnsi="Times New Roman"/>
          <w:color w:val="000000"/>
          <w:sz w:val="20"/>
        </w:rPr>
        <w:t>rozjaśnił swoje oblicze nad (...) spustoszoną świątynią</w:t>
      </w:r>
      <w:r w:rsidRPr="00074492">
        <w:rPr>
          <w:rFonts w:ascii="Times New Roman" w:hAnsi="Times New Roman"/>
          <w:bCs/>
          <w:sz w:val="20"/>
        </w:rPr>
        <w:t xml:space="preserve">” </w:t>
      </w:r>
      <w:r w:rsidRPr="00074492">
        <w:rPr>
          <w:rFonts w:ascii="Times New Roman" w:hAnsi="Times New Roman"/>
          <w:iCs/>
          <w:sz w:val="20"/>
        </w:rPr>
        <w:t>(</w:t>
      </w:r>
      <w:proofErr w:type="spellStart"/>
      <w:r w:rsidRPr="00074492">
        <w:rPr>
          <w:rFonts w:ascii="Times New Roman" w:hAnsi="Times New Roman"/>
          <w:iCs/>
          <w:sz w:val="20"/>
        </w:rPr>
        <w:t>Dn</w:t>
      </w:r>
      <w:proofErr w:type="spellEnd"/>
      <w:r w:rsidRPr="00074492">
        <w:rPr>
          <w:rFonts w:ascii="Times New Roman" w:hAnsi="Times New Roman"/>
          <w:iCs/>
          <w:sz w:val="20"/>
        </w:rPr>
        <w:t> 9,17)</w:t>
      </w:r>
      <w:r w:rsidRPr="00074492">
        <w:rPr>
          <w:rFonts w:ascii="Times New Roman" w:hAnsi="Times New Roman"/>
          <w:bCs/>
          <w:sz w:val="20"/>
        </w:rPr>
        <w:t xml:space="preserve">. Ku radości Daniela Bóg posłał „Gabriela”, aby go pouczył </w:t>
      </w:r>
      <w:r w:rsidRPr="00074492">
        <w:rPr>
          <w:rFonts w:ascii="Times New Roman" w:hAnsi="Times New Roman"/>
          <w:iCs/>
          <w:sz w:val="20"/>
        </w:rPr>
        <w:t>(</w:t>
      </w:r>
      <w:proofErr w:type="spellStart"/>
      <w:r w:rsidRPr="00074492">
        <w:rPr>
          <w:rFonts w:ascii="Times New Roman" w:hAnsi="Times New Roman"/>
          <w:iCs/>
          <w:sz w:val="20"/>
        </w:rPr>
        <w:t>Dn</w:t>
      </w:r>
      <w:proofErr w:type="spellEnd"/>
      <w:r w:rsidRPr="00074492">
        <w:rPr>
          <w:rFonts w:ascii="Times New Roman" w:hAnsi="Times New Roman"/>
          <w:iCs/>
          <w:sz w:val="20"/>
        </w:rPr>
        <w:t> 9,21-22)</w:t>
      </w:r>
      <w:r w:rsidRPr="00074492">
        <w:rPr>
          <w:rFonts w:ascii="Times New Roman" w:hAnsi="Times New Roman"/>
          <w:bCs/>
          <w:sz w:val="20"/>
        </w:rPr>
        <w:t xml:space="preserve">. Jednak Gabriel nie odpowiedział wprost na modlitwę Daniela w sprawie proroctwa Jeremiasza o 70 latach. Zamiast tego Gabriel </w:t>
      </w:r>
      <w:r w:rsidRPr="00074492">
        <w:rPr>
          <w:rFonts w:ascii="Times New Roman" w:hAnsi="Times New Roman"/>
          <w:bCs/>
          <w:sz w:val="20"/>
        </w:rPr>
        <w:lastRenderedPageBreak/>
        <w:t>wezwał Daniela, by „</w:t>
      </w:r>
      <w:r w:rsidRPr="00074492">
        <w:rPr>
          <w:rFonts w:ascii="Times New Roman" w:hAnsi="Times New Roman"/>
          <w:color w:val="000000"/>
          <w:sz w:val="20"/>
        </w:rPr>
        <w:t>uważał (...) na słowo i zrozumiał</w:t>
      </w:r>
      <w:r w:rsidRPr="00074492">
        <w:rPr>
          <w:rFonts w:ascii="Times New Roman" w:hAnsi="Times New Roman"/>
          <w:bCs/>
          <w:sz w:val="20"/>
        </w:rPr>
        <w:t xml:space="preserve">” widzenie </w:t>
      </w:r>
      <w:r w:rsidRPr="00074492">
        <w:rPr>
          <w:rFonts w:ascii="Times New Roman" w:hAnsi="Times New Roman"/>
          <w:iCs/>
          <w:sz w:val="20"/>
        </w:rPr>
        <w:t>(</w:t>
      </w:r>
      <w:proofErr w:type="spellStart"/>
      <w:r w:rsidRPr="00074492">
        <w:rPr>
          <w:rFonts w:ascii="Times New Roman" w:hAnsi="Times New Roman"/>
          <w:iCs/>
          <w:sz w:val="20"/>
        </w:rPr>
        <w:t>Dn</w:t>
      </w:r>
      <w:proofErr w:type="spellEnd"/>
      <w:r w:rsidRPr="00074492">
        <w:rPr>
          <w:rFonts w:ascii="Times New Roman" w:hAnsi="Times New Roman"/>
          <w:iCs/>
          <w:sz w:val="20"/>
        </w:rPr>
        <w:t> 9,23)</w:t>
      </w:r>
      <w:r w:rsidRPr="00074492">
        <w:rPr>
          <w:rFonts w:ascii="Times New Roman" w:hAnsi="Times New Roman"/>
          <w:bCs/>
          <w:sz w:val="20"/>
        </w:rPr>
        <w:t xml:space="preserve">. Oczywiście tym, co Daniel potrzebował zrozumieć, było proroctwo </w:t>
      </w:r>
      <w:proofErr w:type="spellStart"/>
      <w:r w:rsidRPr="00074492">
        <w:rPr>
          <w:rFonts w:ascii="Times New Roman" w:hAnsi="Times New Roman"/>
          <w:bCs/>
          <w:sz w:val="20"/>
        </w:rPr>
        <w:t>Dn</w:t>
      </w:r>
      <w:proofErr w:type="spellEnd"/>
      <w:r w:rsidRPr="00074492">
        <w:rPr>
          <w:rFonts w:ascii="Times New Roman" w:hAnsi="Times New Roman"/>
          <w:bCs/>
          <w:sz w:val="20"/>
        </w:rPr>
        <w:t xml:space="preserve"> 8,14, jako że Gabriel nie mówił o dosłownych 70 tygodniach, ale o 70 proroczych tygodniach </w:t>
      </w:r>
      <w:r w:rsidRPr="00074492">
        <w:rPr>
          <w:rFonts w:ascii="Times New Roman" w:hAnsi="Times New Roman"/>
          <w:iCs/>
          <w:sz w:val="20"/>
        </w:rPr>
        <w:t>(</w:t>
      </w:r>
      <w:proofErr w:type="spellStart"/>
      <w:r w:rsidRPr="00074492">
        <w:rPr>
          <w:rFonts w:ascii="Times New Roman" w:hAnsi="Times New Roman"/>
          <w:iCs/>
          <w:sz w:val="20"/>
        </w:rPr>
        <w:t>Dn</w:t>
      </w:r>
      <w:proofErr w:type="spellEnd"/>
      <w:r w:rsidRPr="00074492">
        <w:rPr>
          <w:rFonts w:ascii="Times New Roman" w:hAnsi="Times New Roman"/>
          <w:iCs/>
          <w:sz w:val="20"/>
        </w:rPr>
        <w:t> 9,24)</w:t>
      </w:r>
      <w:r w:rsidRPr="00074492">
        <w:rPr>
          <w:rFonts w:ascii="Times New Roman" w:hAnsi="Times New Roman"/>
          <w:bCs/>
          <w:sz w:val="20"/>
        </w:rPr>
        <w:t xml:space="preserve">, czyli 490 rzeczywistych latach. 490 lat mogło zostać „wyznaczone” czy „odjęte” jedynie od 2300 lat z wizji </w:t>
      </w:r>
      <w:proofErr w:type="spellStart"/>
      <w:r w:rsidRPr="00074492">
        <w:rPr>
          <w:rFonts w:ascii="Times New Roman" w:hAnsi="Times New Roman"/>
          <w:bCs/>
          <w:sz w:val="20"/>
        </w:rPr>
        <w:t>Dn</w:t>
      </w:r>
      <w:proofErr w:type="spellEnd"/>
      <w:r w:rsidRPr="00074492">
        <w:rPr>
          <w:rFonts w:ascii="Times New Roman" w:hAnsi="Times New Roman"/>
          <w:bCs/>
          <w:sz w:val="20"/>
        </w:rPr>
        <w:t xml:space="preserve"> 8,15, a nie od 70 lat z proroctwa Jeremiasza. Przedstawiając to wyliczenie Gabriel zaznaczył początek nie tylko 70 proroczych tygodni, ale także 2300 lat. Tym wydarzeniem było „objawienie się słowa o ponownej odbudowie </w:t>
      </w:r>
      <w:proofErr w:type="spellStart"/>
      <w:r w:rsidRPr="00074492">
        <w:rPr>
          <w:rFonts w:ascii="Times New Roman" w:hAnsi="Times New Roman"/>
          <w:bCs/>
          <w:sz w:val="20"/>
        </w:rPr>
        <w:t>Jeruzalemu</w:t>
      </w:r>
      <w:proofErr w:type="spellEnd"/>
      <w:r w:rsidRPr="00074492">
        <w:rPr>
          <w:rFonts w:ascii="Times New Roman" w:hAnsi="Times New Roman"/>
          <w:bCs/>
          <w:sz w:val="20"/>
        </w:rPr>
        <w:t>” (</w:t>
      </w:r>
      <w:proofErr w:type="spellStart"/>
      <w:r w:rsidRPr="00074492">
        <w:rPr>
          <w:rFonts w:ascii="Times New Roman" w:hAnsi="Times New Roman"/>
          <w:bCs/>
          <w:sz w:val="20"/>
        </w:rPr>
        <w:t>Dn</w:t>
      </w:r>
      <w:proofErr w:type="spellEnd"/>
      <w:r w:rsidRPr="00074492">
        <w:rPr>
          <w:rFonts w:ascii="Times New Roman" w:hAnsi="Times New Roman"/>
          <w:bCs/>
          <w:sz w:val="20"/>
        </w:rPr>
        <w:t> 9,25), które nastąpiło w 457 roku p.n.e. Tak więc 70 proroczych tygodni jest pierwszą częścią okresu 2300 lat. Te dwa okresy składają się w jedno wielkie proroctwo.</w:t>
      </w:r>
    </w:p>
    <w:p w14:paraId="3B5FA2E5" w14:textId="77777777" w:rsidR="00CC4075" w:rsidRPr="00074492" w:rsidRDefault="00CC4075" w:rsidP="00CC4075">
      <w:pPr>
        <w:rPr>
          <w:rFonts w:ascii="Times New Roman" w:hAnsi="Times New Roman"/>
          <w:iCs/>
          <w:sz w:val="20"/>
        </w:rPr>
      </w:pPr>
      <w:r w:rsidRPr="00074492">
        <w:rPr>
          <w:rFonts w:ascii="Times New Roman" w:hAnsi="Times New Roman"/>
          <w:bCs/>
          <w:sz w:val="20"/>
        </w:rPr>
        <w:t xml:space="preserve">Gabriel wreszcie odpowiedział na pytanie i modlitwę Daniela w kwestii odrodzenia i odbudowy Jerozolimy </w:t>
      </w:r>
      <w:r w:rsidRPr="00074492">
        <w:rPr>
          <w:rFonts w:ascii="Times New Roman" w:hAnsi="Times New Roman"/>
          <w:iCs/>
          <w:sz w:val="20"/>
        </w:rPr>
        <w:t>(</w:t>
      </w:r>
      <w:proofErr w:type="spellStart"/>
      <w:r w:rsidRPr="00074492">
        <w:rPr>
          <w:rFonts w:ascii="Times New Roman" w:hAnsi="Times New Roman"/>
          <w:iCs/>
          <w:sz w:val="20"/>
        </w:rPr>
        <w:t>Dn</w:t>
      </w:r>
      <w:proofErr w:type="spellEnd"/>
      <w:r w:rsidRPr="00074492">
        <w:rPr>
          <w:rFonts w:ascii="Times New Roman" w:hAnsi="Times New Roman"/>
          <w:iCs/>
          <w:sz w:val="20"/>
        </w:rPr>
        <w:t> 9,25)</w:t>
      </w:r>
      <w:r w:rsidRPr="00074492">
        <w:rPr>
          <w:rFonts w:ascii="Times New Roman" w:hAnsi="Times New Roman"/>
          <w:bCs/>
          <w:sz w:val="20"/>
        </w:rPr>
        <w:t xml:space="preserve">, Bożej „świętej góry” </w:t>
      </w:r>
      <w:r w:rsidRPr="00074492">
        <w:rPr>
          <w:rFonts w:ascii="Times New Roman" w:hAnsi="Times New Roman"/>
          <w:iCs/>
          <w:sz w:val="20"/>
        </w:rPr>
        <w:t>(</w:t>
      </w:r>
      <w:proofErr w:type="spellStart"/>
      <w:r w:rsidRPr="00074492">
        <w:rPr>
          <w:rFonts w:ascii="Times New Roman" w:hAnsi="Times New Roman"/>
          <w:iCs/>
          <w:sz w:val="20"/>
        </w:rPr>
        <w:t>Dn</w:t>
      </w:r>
      <w:proofErr w:type="spellEnd"/>
      <w:r w:rsidRPr="00074492">
        <w:rPr>
          <w:rFonts w:ascii="Times New Roman" w:hAnsi="Times New Roman"/>
          <w:iCs/>
          <w:sz w:val="20"/>
        </w:rPr>
        <w:t> 9,20)</w:t>
      </w:r>
      <w:r w:rsidRPr="00074492">
        <w:rPr>
          <w:rFonts w:ascii="Times New Roman" w:hAnsi="Times New Roman"/>
          <w:bCs/>
          <w:sz w:val="20"/>
        </w:rPr>
        <w:t>. Jednak Gabriel dodał także, iż wypełnienie proroctwa Jeremiasza o 70 latach to jedynie początek znacznie ważniejszego proroctwa. To początek 70 proroczych „tygodni”, a jednocześnie jeszcze dłuższego okresu 2300 lat. Dlatego zwracając uwagę na to większe proroctwo Gabriel wyjaśnił dalej Danielowi znaczenie owych 70 proroczych tygodni czyli 490 rzeczywistych lat, które miały zostać „wyznaczone” czy „oddzielone” dla „</w:t>
      </w:r>
      <w:r w:rsidRPr="00074492">
        <w:rPr>
          <w:rFonts w:ascii="Times New Roman" w:hAnsi="Times New Roman"/>
          <w:color w:val="000000"/>
          <w:sz w:val="20"/>
        </w:rPr>
        <w:t>twojemu ludowi i twojemu miastu świętemu</w:t>
      </w:r>
      <w:r w:rsidRPr="00074492">
        <w:rPr>
          <w:rFonts w:ascii="Times New Roman" w:hAnsi="Times New Roman"/>
          <w:bCs/>
          <w:sz w:val="20"/>
        </w:rPr>
        <w:t xml:space="preserve">” </w:t>
      </w:r>
      <w:r w:rsidRPr="00074492">
        <w:rPr>
          <w:rFonts w:ascii="Times New Roman" w:hAnsi="Times New Roman"/>
          <w:iCs/>
          <w:sz w:val="20"/>
        </w:rPr>
        <w:t>(</w:t>
      </w:r>
      <w:proofErr w:type="spellStart"/>
      <w:r w:rsidRPr="00074492">
        <w:rPr>
          <w:rFonts w:ascii="Times New Roman" w:hAnsi="Times New Roman"/>
          <w:iCs/>
          <w:sz w:val="20"/>
        </w:rPr>
        <w:t>Dn</w:t>
      </w:r>
      <w:proofErr w:type="spellEnd"/>
      <w:r w:rsidRPr="00074492">
        <w:rPr>
          <w:rFonts w:ascii="Times New Roman" w:hAnsi="Times New Roman"/>
          <w:iCs/>
          <w:sz w:val="20"/>
        </w:rPr>
        <w:t> 9,24), a miały sięgać doniosłych wydarzeń - „aż do Pomazańca-Księcia” (</w:t>
      </w:r>
      <w:proofErr w:type="spellStart"/>
      <w:r w:rsidRPr="00074492">
        <w:rPr>
          <w:rFonts w:ascii="Times New Roman" w:hAnsi="Times New Roman"/>
          <w:iCs/>
          <w:sz w:val="20"/>
        </w:rPr>
        <w:t>Dn</w:t>
      </w:r>
      <w:proofErr w:type="spellEnd"/>
      <w:r w:rsidRPr="00074492">
        <w:rPr>
          <w:rFonts w:ascii="Times New Roman" w:hAnsi="Times New Roman"/>
          <w:iCs/>
          <w:sz w:val="20"/>
        </w:rPr>
        <w:t> 9,25).</w:t>
      </w:r>
    </w:p>
    <w:p w14:paraId="5EF900C2" w14:textId="52C9A836" w:rsidR="00CC4075" w:rsidRPr="00074492" w:rsidRDefault="00CC4075" w:rsidP="00CC4075">
      <w:pPr>
        <w:rPr>
          <w:rFonts w:ascii="Times New Roman" w:hAnsi="Times New Roman"/>
          <w:bCs/>
          <w:sz w:val="20"/>
        </w:rPr>
      </w:pPr>
      <w:r w:rsidRPr="00074492">
        <w:rPr>
          <w:rFonts w:ascii="Times New Roman" w:hAnsi="Times New Roman"/>
          <w:bCs/>
          <w:sz w:val="20"/>
        </w:rPr>
        <w:t>Koniec czy cel tych 490 lat to pierwsze przyjście Mesjasza. Gabriel wyjaśnił, że gdy Mesjasz przyjdzie, „</w:t>
      </w:r>
      <w:r w:rsidRPr="00074492">
        <w:rPr>
          <w:rFonts w:ascii="Times New Roman" w:hAnsi="Times New Roman"/>
          <w:color w:val="000000"/>
          <w:sz w:val="20"/>
        </w:rPr>
        <w:t>przypieczętowany będzie grzech i zmazana wina, i przywrócona będzie wieczna sprawiedliwość (...) i</w:t>
      </w:r>
      <w:r w:rsidR="00C3394B">
        <w:rPr>
          <w:rFonts w:ascii="Times New Roman" w:hAnsi="Times New Roman"/>
          <w:color w:val="000000"/>
          <w:sz w:val="20"/>
        </w:rPr>
        <w:t> </w:t>
      </w:r>
      <w:r w:rsidRPr="00074492">
        <w:rPr>
          <w:rFonts w:ascii="Times New Roman" w:hAnsi="Times New Roman"/>
          <w:color w:val="000000"/>
          <w:sz w:val="20"/>
        </w:rPr>
        <w:t>Najświętsze będzie namaszczone</w:t>
      </w:r>
      <w:r w:rsidRPr="00074492">
        <w:rPr>
          <w:rFonts w:ascii="Times New Roman" w:hAnsi="Times New Roman"/>
          <w:bCs/>
          <w:sz w:val="20"/>
        </w:rPr>
        <w:t xml:space="preserve">” </w:t>
      </w:r>
      <w:r w:rsidRPr="00074492">
        <w:rPr>
          <w:rFonts w:ascii="Times New Roman" w:hAnsi="Times New Roman"/>
          <w:iCs/>
          <w:sz w:val="20"/>
        </w:rPr>
        <w:t>(</w:t>
      </w:r>
      <w:proofErr w:type="spellStart"/>
      <w:r w:rsidRPr="00074492">
        <w:rPr>
          <w:rFonts w:ascii="Times New Roman" w:hAnsi="Times New Roman"/>
          <w:iCs/>
          <w:sz w:val="20"/>
        </w:rPr>
        <w:t>Dn</w:t>
      </w:r>
      <w:proofErr w:type="spellEnd"/>
      <w:r w:rsidRPr="00074492">
        <w:rPr>
          <w:rFonts w:ascii="Times New Roman" w:hAnsi="Times New Roman"/>
          <w:iCs/>
          <w:sz w:val="20"/>
        </w:rPr>
        <w:t> 9,24)</w:t>
      </w:r>
      <w:r w:rsidRPr="00074492">
        <w:rPr>
          <w:rFonts w:ascii="Times New Roman" w:hAnsi="Times New Roman"/>
          <w:bCs/>
          <w:sz w:val="20"/>
        </w:rPr>
        <w:t>. W siedemdziesiątym proroczym tygodniu Mesjasz „</w:t>
      </w:r>
      <w:r w:rsidRPr="00074492">
        <w:rPr>
          <w:rFonts w:ascii="Times New Roman" w:hAnsi="Times New Roman"/>
          <w:color w:val="000000"/>
          <w:sz w:val="20"/>
        </w:rPr>
        <w:t>zawrze ścisłe przymierze z wieloma na jeden tydzień, w połowie tygodnia zniesie ofiary krwawe i z pokarmów</w:t>
      </w:r>
      <w:r w:rsidRPr="00074492">
        <w:rPr>
          <w:rFonts w:ascii="Times New Roman" w:hAnsi="Times New Roman"/>
          <w:bCs/>
          <w:sz w:val="20"/>
        </w:rPr>
        <w:t xml:space="preserve">” </w:t>
      </w:r>
      <w:r w:rsidRPr="00074492">
        <w:rPr>
          <w:rFonts w:ascii="Times New Roman" w:hAnsi="Times New Roman"/>
          <w:iCs/>
          <w:sz w:val="20"/>
        </w:rPr>
        <w:t>(</w:t>
      </w:r>
      <w:proofErr w:type="spellStart"/>
      <w:r w:rsidRPr="00074492">
        <w:rPr>
          <w:rFonts w:ascii="Times New Roman" w:hAnsi="Times New Roman"/>
          <w:iCs/>
          <w:sz w:val="20"/>
        </w:rPr>
        <w:t>Dn</w:t>
      </w:r>
      <w:proofErr w:type="spellEnd"/>
      <w:r w:rsidRPr="00074492">
        <w:rPr>
          <w:rFonts w:ascii="Times New Roman" w:hAnsi="Times New Roman"/>
          <w:iCs/>
          <w:sz w:val="20"/>
        </w:rPr>
        <w:t> 9,27)</w:t>
      </w:r>
      <w:r w:rsidRPr="00074492">
        <w:rPr>
          <w:rFonts w:ascii="Times New Roman" w:hAnsi="Times New Roman"/>
          <w:bCs/>
          <w:sz w:val="20"/>
        </w:rPr>
        <w:t xml:space="preserve">. Jedyne sensowne wypełnienie tej zapowiedzi to ofiarowanie Jezusa, „Pomazańca-Księcia” </w:t>
      </w:r>
      <w:r w:rsidRPr="00074492">
        <w:rPr>
          <w:rFonts w:ascii="Times New Roman" w:hAnsi="Times New Roman"/>
          <w:iCs/>
          <w:sz w:val="20"/>
        </w:rPr>
        <w:t>(</w:t>
      </w:r>
      <w:proofErr w:type="spellStart"/>
      <w:r w:rsidRPr="00074492">
        <w:rPr>
          <w:rFonts w:ascii="Times New Roman" w:hAnsi="Times New Roman"/>
          <w:iCs/>
          <w:sz w:val="20"/>
        </w:rPr>
        <w:t>Dn</w:t>
      </w:r>
      <w:proofErr w:type="spellEnd"/>
      <w:r w:rsidRPr="00074492">
        <w:rPr>
          <w:rFonts w:ascii="Times New Roman" w:hAnsi="Times New Roman"/>
          <w:iCs/>
          <w:sz w:val="20"/>
        </w:rPr>
        <w:t> 9,25)</w:t>
      </w:r>
      <w:r w:rsidRPr="00074492">
        <w:rPr>
          <w:rFonts w:ascii="Times New Roman" w:hAnsi="Times New Roman"/>
          <w:bCs/>
          <w:sz w:val="20"/>
        </w:rPr>
        <w:t xml:space="preserve">, „Baranka Bożego, który gładzi grzech świata” </w:t>
      </w:r>
      <w:r w:rsidRPr="00074492">
        <w:rPr>
          <w:rFonts w:ascii="Times New Roman" w:hAnsi="Times New Roman"/>
          <w:iCs/>
          <w:sz w:val="20"/>
        </w:rPr>
        <w:t xml:space="preserve">(J 1,29) </w:t>
      </w:r>
      <w:r w:rsidRPr="00074492">
        <w:rPr>
          <w:rFonts w:ascii="Times New Roman" w:hAnsi="Times New Roman"/>
          <w:bCs/>
          <w:sz w:val="20"/>
        </w:rPr>
        <w:t>oraz „</w:t>
      </w:r>
      <w:r w:rsidRPr="00074492">
        <w:rPr>
          <w:rFonts w:ascii="Times New Roman" w:hAnsi="Times New Roman"/>
          <w:color w:val="000000"/>
          <w:sz w:val="20"/>
        </w:rPr>
        <w:t>będzie zabity i nie będzie go</w:t>
      </w:r>
      <w:r w:rsidRPr="00074492">
        <w:rPr>
          <w:rFonts w:ascii="Times New Roman" w:hAnsi="Times New Roman"/>
          <w:bCs/>
          <w:sz w:val="20"/>
        </w:rPr>
        <w:t xml:space="preserve">” </w:t>
      </w:r>
      <w:r w:rsidRPr="00074492">
        <w:rPr>
          <w:rFonts w:ascii="Times New Roman" w:hAnsi="Times New Roman"/>
          <w:iCs/>
          <w:sz w:val="20"/>
        </w:rPr>
        <w:t>(</w:t>
      </w:r>
      <w:proofErr w:type="spellStart"/>
      <w:r w:rsidRPr="00074492">
        <w:rPr>
          <w:rFonts w:ascii="Times New Roman" w:hAnsi="Times New Roman"/>
          <w:iCs/>
          <w:sz w:val="20"/>
        </w:rPr>
        <w:t>Dn</w:t>
      </w:r>
      <w:proofErr w:type="spellEnd"/>
      <w:r w:rsidRPr="00074492">
        <w:rPr>
          <w:rFonts w:ascii="Times New Roman" w:hAnsi="Times New Roman"/>
          <w:iCs/>
          <w:sz w:val="20"/>
        </w:rPr>
        <w:t> 9,26)</w:t>
      </w:r>
      <w:r w:rsidRPr="00074492">
        <w:rPr>
          <w:rFonts w:ascii="Times New Roman" w:hAnsi="Times New Roman"/>
          <w:bCs/>
          <w:sz w:val="20"/>
        </w:rPr>
        <w:t>.</w:t>
      </w:r>
    </w:p>
    <w:p w14:paraId="119EFCF4" w14:textId="77777777" w:rsidR="00CC4075" w:rsidRPr="00074492" w:rsidRDefault="00CC4075" w:rsidP="00CC4075">
      <w:pPr>
        <w:rPr>
          <w:rFonts w:ascii="Times New Roman" w:hAnsi="Times New Roman"/>
          <w:bCs/>
          <w:sz w:val="20"/>
        </w:rPr>
      </w:pPr>
      <w:r w:rsidRPr="00074492">
        <w:rPr>
          <w:rFonts w:ascii="Times New Roman" w:hAnsi="Times New Roman"/>
          <w:bCs/>
          <w:sz w:val="20"/>
        </w:rPr>
        <w:t xml:space="preserve">Tak więc proroctwo o 70 tygodniach jest początkiem proroctwa o 2300 latach. Możemy być pewni, że proroctwo o 2300 latach dotyczące oczyszczenia świątyni wypełniło się w 1844 roku, gdyż proroctwo o 70 tygodniach </w:t>
      </w:r>
      <w:r w:rsidRPr="00074492">
        <w:rPr>
          <w:rFonts w:ascii="Times New Roman" w:hAnsi="Times New Roman"/>
          <w:iCs/>
          <w:sz w:val="20"/>
        </w:rPr>
        <w:t>(</w:t>
      </w:r>
      <w:proofErr w:type="spellStart"/>
      <w:r w:rsidRPr="00074492">
        <w:rPr>
          <w:rFonts w:ascii="Times New Roman" w:hAnsi="Times New Roman"/>
          <w:iCs/>
          <w:sz w:val="20"/>
        </w:rPr>
        <w:t>Dn</w:t>
      </w:r>
      <w:proofErr w:type="spellEnd"/>
      <w:r w:rsidRPr="00074492">
        <w:rPr>
          <w:rFonts w:ascii="Times New Roman" w:hAnsi="Times New Roman"/>
          <w:iCs/>
          <w:sz w:val="20"/>
        </w:rPr>
        <w:t xml:space="preserve"> 9,24-27) </w:t>
      </w:r>
      <w:r w:rsidRPr="00074492">
        <w:rPr>
          <w:rFonts w:ascii="Times New Roman" w:hAnsi="Times New Roman"/>
          <w:bCs/>
          <w:sz w:val="20"/>
        </w:rPr>
        <w:t>zostało wypełnione z największą dokładnością w ofiarnej śmierci Mesjasza w połowie siedemdziesiątego tygodnia, wiosną 31 roku. Ponadto proroctwo o 70 tygodniach wypełniło się w ofiarnej śmierci Mesjasza w powiązaniu z ziemską świątynią, a proroctwo o 2300 latach miało się wypełnić oczyszczeniem niebiańskiej świątyni przez Mesjasza. Podobnie dwie części proroctwa wiążą się z dwoma przyjściami Mesjasza - koniec okresu 70 tygodni wiąże się z pierwszym przyjściem Chrystusa, zaś koniec 2300 lat jest związany z Jego powtórnym przyjściem.</w:t>
      </w:r>
    </w:p>
    <w:p w14:paraId="1B5AD464" w14:textId="77777777" w:rsidR="00CC4075" w:rsidRPr="00074492" w:rsidRDefault="00CC4075" w:rsidP="00CC4075">
      <w:pPr>
        <w:rPr>
          <w:rFonts w:ascii="Times New Roman" w:hAnsi="Times New Roman"/>
          <w:bCs/>
          <w:sz w:val="20"/>
        </w:rPr>
      </w:pPr>
    </w:p>
    <w:p w14:paraId="0692B934" w14:textId="77777777" w:rsidR="00CC4075" w:rsidRPr="00074492" w:rsidRDefault="00CC4075" w:rsidP="00CC4075">
      <w:pPr>
        <w:rPr>
          <w:rFonts w:ascii="Times New Roman" w:hAnsi="Times New Roman"/>
          <w:bCs/>
          <w:sz w:val="20"/>
        </w:rPr>
      </w:pPr>
      <w:r w:rsidRPr="00074492">
        <w:rPr>
          <w:rFonts w:ascii="Times New Roman" w:hAnsi="Times New Roman"/>
          <w:b/>
          <w:sz w:val="20"/>
        </w:rPr>
        <w:t>Zapomniana biblijna nauka o świątyni</w:t>
      </w:r>
    </w:p>
    <w:p w14:paraId="45D7AE32" w14:textId="4A57E716" w:rsidR="00CC4075" w:rsidRPr="00074492" w:rsidRDefault="00CC4075" w:rsidP="00CC4075">
      <w:pPr>
        <w:rPr>
          <w:rFonts w:ascii="Times New Roman" w:hAnsi="Times New Roman"/>
          <w:bCs/>
          <w:sz w:val="20"/>
        </w:rPr>
      </w:pPr>
      <w:r w:rsidRPr="00074492">
        <w:rPr>
          <w:rFonts w:ascii="Times New Roman" w:hAnsi="Times New Roman"/>
          <w:bCs/>
          <w:sz w:val="20"/>
        </w:rPr>
        <w:t xml:space="preserve">Nauka o świątyni jest jednym z najważniejszych tematów </w:t>
      </w:r>
      <w:r w:rsidRPr="00074492">
        <w:rPr>
          <w:rFonts w:ascii="Times New Roman" w:hAnsi="Times New Roman"/>
          <w:bCs/>
          <w:i/>
          <w:iCs/>
          <w:sz w:val="20"/>
        </w:rPr>
        <w:t>Pisma Świętego</w:t>
      </w:r>
      <w:r w:rsidRPr="00074492">
        <w:rPr>
          <w:rFonts w:ascii="Times New Roman" w:hAnsi="Times New Roman"/>
          <w:bCs/>
          <w:sz w:val="20"/>
        </w:rPr>
        <w:t xml:space="preserve">. </w:t>
      </w:r>
      <w:r w:rsidRPr="00074492">
        <w:rPr>
          <w:rFonts w:ascii="Times New Roman" w:hAnsi="Times New Roman"/>
          <w:bCs/>
          <w:i/>
          <w:iCs/>
          <w:sz w:val="20"/>
        </w:rPr>
        <w:t>Biblia</w:t>
      </w:r>
      <w:r w:rsidRPr="00074492">
        <w:rPr>
          <w:rFonts w:ascii="Times New Roman" w:hAnsi="Times New Roman"/>
          <w:bCs/>
          <w:sz w:val="20"/>
        </w:rPr>
        <w:t xml:space="preserve"> opisuje dwie świątynie - ziemską i niebiańską. Obie świątynie objawiają zasadnicze cechy charakteru Boga, główne aspekty wielkiego boju i zarys planu zbawienia. Zatem obie świątynie służą jako narzędzie i miejsce objawienia Boga Jego ludowi, a także jako Jego mieszkanie między Jego wiernymi oraz siedzibę Jego władzy nad nimi. W świątyni Bóg spotykał się z</w:t>
      </w:r>
      <w:r w:rsidR="00C3394B">
        <w:rPr>
          <w:rFonts w:ascii="Times New Roman" w:hAnsi="Times New Roman"/>
          <w:bCs/>
          <w:sz w:val="20"/>
        </w:rPr>
        <w:t> </w:t>
      </w:r>
      <w:r w:rsidRPr="00074492">
        <w:rPr>
          <w:rFonts w:ascii="Times New Roman" w:hAnsi="Times New Roman"/>
          <w:bCs/>
          <w:sz w:val="20"/>
        </w:rPr>
        <w:t>Izraelitami, a oni zwracali się do Niego oddając Mu cześć. Podobnie niebiańska świątynia służy królestwu Bożemu w wymiarze całego wszechświata. W tym centralnym miejscu Bóg ustanowił swój tron. Objawił się mieszkańcom wszechświata sprawując swoją władzę nad nimi i troszcząc się o nich.</w:t>
      </w:r>
    </w:p>
    <w:p w14:paraId="7E4297BE" w14:textId="714BA1BD" w:rsidR="00CC4075" w:rsidRPr="00074492" w:rsidRDefault="00CC4075" w:rsidP="00CC4075">
      <w:pPr>
        <w:rPr>
          <w:rFonts w:ascii="Times New Roman" w:hAnsi="Times New Roman"/>
          <w:bCs/>
          <w:sz w:val="20"/>
        </w:rPr>
      </w:pPr>
      <w:r w:rsidRPr="00074492">
        <w:rPr>
          <w:rFonts w:ascii="Times New Roman" w:hAnsi="Times New Roman"/>
          <w:bCs/>
          <w:sz w:val="20"/>
        </w:rPr>
        <w:t>Kiedy grzech pojawił się we wszechświecie, niebiańska świątynia przyjęła zbawcze funkcje związane z</w:t>
      </w:r>
      <w:r w:rsidR="00C3394B">
        <w:rPr>
          <w:rFonts w:ascii="Times New Roman" w:hAnsi="Times New Roman"/>
          <w:bCs/>
          <w:sz w:val="20"/>
        </w:rPr>
        <w:t> </w:t>
      </w:r>
      <w:r w:rsidRPr="00074492">
        <w:rPr>
          <w:rFonts w:ascii="Times New Roman" w:hAnsi="Times New Roman"/>
          <w:bCs/>
          <w:sz w:val="20"/>
        </w:rPr>
        <w:t>służbą ofiarną i pośredniczą. Tak więc dwie świątynie nie są od siebie odseparowane, ale ściśle powiązane związkiem typologicznym. To znaczy, że ziemska świątynia została wybudowana właśnie po to, by objawiać, wskazywać i wyjaśniać znaczenie i rolę niebiańskiej świątyni.</w:t>
      </w:r>
    </w:p>
    <w:p w14:paraId="5BC43D39" w14:textId="77777777" w:rsidR="00CC4075" w:rsidRPr="00074492" w:rsidRDefault="00CC4075" w:rsidP="00CC4075">
      <w:pPr>
        <w:rPr>
          <w:rFonts w:ascii="Times New Roman" w:hAnsi="Times New Roman"/>
          <w:bCs/>
          <w:sz w:val="20"/>
        </w:rPr>
      </w:pPr>
      <w:r w:rsidRPr="00074492">
        <w:rPr>
          <w:rFonts w:ascii="Times New Roman" w:hAnsi="Times New Roman"/>
          <w:bCs/>
          <w:sz w:val="20"/>
        </w:rPr>
        <w:t xml:space="preserve">Pamiętając o tym zrozumieniu zasadniczej roli świątyni w królestwie Bożym nie możemy nie zauważyć, że jest obecność jest oczywista w </w:t>
      </w:r>
      <w:r w:rsidRPr="00074492">
        <w:rPr>
          <w:rFonts w:ascii="Times New Roman" w:hAnsi="Times New Roman"/>
          <w:bCs/>
          <w:i/>
          <w:iCs/>
          <w:sz w:val="20"/>
        </w:rPr>
        <w:t>Piśmie Świętym</w:t>
      </w:r>
      <w:r w:rsidRPr="00074492">
        <w:rPr>
          <w:rFonts w:ascii="Times New Roman" w:hAnsi="Times New Roman"/>
          <w:bCs/>
          <w:sz w:val="20"/>
        </w:rPr>
        <w:t>. Nie sposób pojąć, dlaczego właśnie chrześcijanie przez kilkanaście wieków lekceważyli potrzebę studiowania znaczenia niebiańskiej świątyni. Jak to możliwe, że doszło do takiego przeoczenia?</w:t>
      </w:r>
    </w:p>
    <w:p w14:paraId="126D8E73" w14:textId="72826EED" w:rsidR="00CC4075" w:rsidRPr="00074492" w:rsidRDefault="00CC4075" w:rsidP="00CC4075">
      <w:pPr>
        <w:rPr>
          <w:rFonts w:ascii="Times New Roman" w:hAnsi="Times New Roman"/>
          <w:bCs/>
          <w:sz w:val="20"/>
        </w:rPr>
      </w:pPr>
      <w:r w:rsidRPr="00074492">
        <w:rPr>
          <w:rFonts w:ascii="Times New Roman" w:hAnsi="Times New Roman"/>
          <w:bCs/>
          <w:sz w:val="20"/>
        </w:rPr>
        <w:t>Adwentyści wskazują dwa zasadnicze czynniki, które doprowadziły do wykluczenia nauki o świątyni ze skarbnicy chrześcijańskiej teologii. Po pierwsze, zważywszy znaczenie niebiańskiej świątyni dla zbawienia, jest oczywiste, że diabeł czynił wszystko, by zaciemnić czy nawet wymazać biblijną naukę o niebiańskiej świątyni. W</w:t>
      </w:r>
      <w:r w:rsidR="00C3394B">
        <w:rPr>
          <w:rFonts w:ascii="Times New Roman" w:hAnsi="Times New Roman"/>
          <w:bCs/>
          <w:sz w:val="20"/>
        </w:rPr>
        <w:t> </w:t>
      </w:r>
      <w:r w:rsidRPr="00074492">
        <w:rPr>
          <w:rFonts w:ascii="Times New Roman" w:hAnsi="Times New Roman"/>
          <w:bCs/>
          <w:sz w:val="20"/>
        </w:rPr>
        <w:t>ten sposób ludzie nie mogli poznać prawdy o Bogu, ofierze Chrystusa oraz Jego stałym wstawiennictwie w</w:t>
      </w:r>
      <w:r w:rsidR="00C3394B">
        <w:rPr>
          <w:rFonts w:ascii="Times New Roman" w:hAnsi="Times New Roman"/>
          <w:bCs/>
          <w:sz w:val="20"/>
        </w:rPr>
        <w:t> </w:t>
      </w:r>
      <w:r w:rsidRPr="00074492">
        <w:rPr>
          <w:rFonts w:ascii="Times New Roman" w:hAnsi="Times New Roman"/>
          <w:bCs/>
          <w:sz w:val="20"/>
        </w:rPr>
        <w:t>niebiańskiej świątyni dla naszego zbawienia.</w:t>
      </w:r>
    </w:p>
    <w:p w14:paraId="0FFE83FC" w14:textId="77777777" w:rsidR="00CC4075" w:rsidRPr="00074492" w:rsidRDefault="00CC4075" w:rsidP="00CC4075">
      <w:pPr>
        <w:rPr>
          <w:rFonts w:ascii="Times New Roman" w:hAnsi="Times New Roman"/>
          <w:bCs/>
          <w:sz w:val="20"/>
        </w:rPr>
      </w:pPr>
    </w:p>
    <w:p w14:paraId="321A027C" w14:textId="77777777" w:rsidR="00CC4075" w:rsidRPr="00074492" w:rsidRDefault="00CC4075" w:rsidP="00CC4075">
      <w:pPr>
        <w:rPr>
          <w:rFonts w:ascii="Times New Roman" w:hAnsi="Times New Roman"/>
          <w:bCs/>
          <w:sz w:val="20"/>
        </w:rPr>
      </w:pPr>
      <w:r w:rsidRPr="00074492">
        <w:rPr>
          <w:rFonts w:ascii="Times New Roman" w:hAnsi="Times New Roman"/>
          <w:bCs/>
          <w:sz w:val="20"/>
        </w:rPr>
        <w:t>Dualizm wszechświata</w:t>
      </w:r>
    </w:p>
    <w:p w14:paraId="2ADE21C5" w14:textId="77777777" w:rsidR="00CC4075" w:rsidRPr="00074492" w:rsidRDefault="00CC4075" w:rsidP="00CC4075">
      <w:pPr>
        <w:rPr>
          <w:rFonts w:ascii="Times New Roman" w:hAnsi="Times New Roman"/>
          <w:bCs/>
          <w:sz w:val="20"/>
        </w:rPr>
      </w:pPr>
      <w:r w:rsidRPr="00074492">
        <w:rPr>
          <w:rFonts w:ascii="Times New Roman" w:hAnsi="Times New Roman"/>
          <w:bCs/>
          <w:sz w:val="20"/>
        </w:rPr>
        <w:t xml:space="preserve">W jaki sposób doszło do zatarcia tej nauki w chrześcijaństwie? Odpowiedź na to pytanie kieruje naszą dyskusję ku drugiemu zasadniczemu czynnikowi - koncepcji dualizmu. W pierwszych wiekach swego istnienia chrześcijaństwo asymilowało grecką filozofię wraz z jej fundamentalną koncepcją dualizmu. Według tej koncepcji cała nasza rzeczywistość dzieli się na dwie sfery - ziemską i niebiańską. Jednak te sfery radykalnie różnią się co do natury. Podczas gdy ziemska sfera jest materialna, doczesna i przestrzenna, niebiańska sfera jest niematerialna, bezczasowa i bezprzestrzenna. Innymi słowy, w niebiańskiej sferze nie ma fizycznego istnienia ani osobistych więzi. Ponieważ nie istnieje łączność ani powiązanie między tymi dwiema sferami, Jedynym sposobem, w jaki ludzie mogą się dostać do niebiańskiej sfery jest zerwanie więzi z ich ziemską egzystencją, co sprowadza się do </w:t>
      </w:r>
      <w:r w:rsidRPr="00074492">
        <w:rPr>
          <w:rFonts w:ascii="Times New Roman" w:hAnsi="Times New Roman"/>
          <w:bCs/>
          <w:sz w:val="20"/>
        </w:rPr>
        <w:lastRenderedPageBreak/>
        <w:t xml:space="preserve">zaprzestania istnienia jako zintegrowana istota ludzka oraz przetrwania w formie bezcielesnej duszy czy umysły, które nie doświadczają czasu ani przestrzeni. Oczywiście taki światopogląd jest możliwy jedynie wówczas, kiedy ktoś akceptuje pogląd, iż ludzie mają fizyczne ciało, ale także nieśmiertelną i zupełnie autonomiczną duszę. Kiedy wcześni chrześcijanie przyjęli ten światopogląd, nie byli w stanie wyobrazić sobie rzeczywistej świątyni w niebie. Trudno im było wyobrazić sobie niebo jako dosłowną przestrzeń oraz wkroczenie Jezusa w ludzkim ciele w tę przestrzeń. Dlatego kiedy ówcześni chrześcijanie czytali w </w:t>
      </w:r>
      <w:r w:rsidRPr="00074492">
        <w:rPr>
          <w:rFonts w:ascii="Times New Roman" w:hAnsi="Times New Roman"/>
          <w:bCs/>
          <w:i/>
          <w:iCs/>
          <w:sz w:val="20"/>
        </w:rPr>
        <w:t>Piśmie Świętym</w:t>
      </w:r>
      <w:r w:rsidRPr="00074492">
        <w:rPr>
          <w:rFonts w:ascii="Times New Roman" w:hAnsi="Times New Roman"/>
          <w:bCs/>
          <w:sz w:val="20"/>
        </w:rPr>
        <w:t xml:space="preserve"> o niebiańskiej świątyni, po prostu alegoryzowali czy spirytualizowali ją, dochodząc do wniosku, że izraelska świątynia symbolizowała Kościół. Mówienie o rzeczywistej świątyni w rzeczywistym Niebie wydawało się „niegodne” ich „wzniosłej” teologii.</w:t>
      </w:r>
    </w:p>
    <w:p w14:paraId="26C24A6D" w14:textId="70C15DD3" w:rsidR="00CC4075" w:rsidRPr="00074492" w:rsidRDefault="00CC4075" w:rsidP="00CC4075">
      <w:pPr>
        <w:rPr>
          <w:rFonts w:ascii="Times New Roman" w:hAnsi="Times New Roman"/>
          <w:bCs/>
          <w:sz w:val="20"/>
        </w:rPr>
      </w:pPr>
      <w:r w:rsidRPr="00074492">
        <w:rPr>
          <w:rFonts w:ascii="Times New Roman" w:hAnsi="Times New Roman"/>
          <w:bCs/>
          <w:sz w:val="20"/>
        </w:rPr>
        <w:t>Owszem, wcześni i średniowieczni chrześcijanie dostrzegali powiązanie świątynnego systemu ofiarniczego z ofiarną śmiercią Chrystusa. Jednak wskutek wpływu greckiej filozofii wcześni chrześcijanie nie potrafili dostrzec pośredniczego dzieła Chrystusa dla ludzkości w prawdziwej niebiańskiej świątyni. Dlatego Kościół Rzymskokatolicki przywłaszczył sobie służbę pośrednictwa i powierzył ją kapłanom. Niestety, ta uzurpacja pośredniczej służby Chrystusa w niebiańskiej świątyni doprowadziła Kościół także do zbezczeszczenia ofiary Chrystusa. Jednak Bóg działał za pośrednictwem ruchów reformacji protestanckiej, by prowadzić swój lud z</w:t>
      </w:r>
      <w:r w:rsidR="00C3394B">
        <w:rPr>
          <w:rFonts w:ascii="Times New Roman" w:hAnsi="Times New Roman"/>
          <w:bCs/>
          <w:sz w:val="20"/>
        </w:rPr>
        <w:t> </w:t>
      </w:r>
      <w:r w:rsidRPr="00074492">
        <w:rPr>
          <w:rFonts w:ascii="Times New Roman" w:hAnsi="Times New Roman"/>
          <w:bCs/>
          <w:sz w:val="20"/>
        </w:rPr>
        <w:t xml:space="preserve">powrotem do literalnego czytania </w:t>
      </w:r>
      <w:r w:rsidRPr="00074492">
        <w:rPr>
          <w:rFonts w:ascii="Times New Roman" w:hAnsi="Times New Roman"/>
          <w:bCs/>
          <w:i/>
          <w:iCs/>
          <w:sz w:val="20"/>
        </w:rPr>
        <w:t>Biblii</w:t>
      </w:r>
      <w:r w:rsidRPr="00074492">
        <w:rPr>
          <w:rFonts w:ascii="Times New Roman" w:hAnsi="Times New Roman"/>
          <w:bCs/>
          <w:sz w:val="20"/>
        </w:rPr>
        <w:t xml:space="preserve">, a następnie za pośrednictwem ruchu adwentystycznego w celu ponownego odkrycia biblijnej nauki o niebiańskiej świątyni w biblijnych proroctwach i </w:t>
      </w:r>
      <w:r w:rsidRPr="00074492">
        <w:rPr>
          <w:rFonts w:ascii="Times New Roman" w:hAnsi="Times New Roman"/>
          <w:bCs/>
          <w:i/>
          <w:iCs/>
          <w:sz w:val="20"/>
        </w:rPr>
        <w:t>Liście do Hebrajczyków</w:t>
      </w:r>
      <w:r w:rsidRPr="00074492">
        <w:rPr>
          <w:rFonts w:ascii="Times New Roman" w:hAnsi="Times New Roman"/>
          <w:bCs/>
          <w:sz w:val="20"/>
        </w:rPr>
        <w:t>.</w:t>
      </w:r>
    </w:p>
    <w:p w14:paraId="06ADF27F" w14:textId="77777777" w:rsidR="00CC4075" w:rsidRPr="00074492" w:rsidRDefault="00CC4075" w:rsidP="00CC4075">
      <w:pPr>
        <w:rPr>
          <w:rFonts w:ascii="Times New Roman" w:hAnsi="Times New Roman"/>
          <w:bCs/>
          <w:sz w:val="20"/>
          <w:lang w:val="en-US"/>
        </w:rPr>
      </w:pPr>
      <w:r w:rsidRPr="00074492">
        <w:rPr>
          <w:rFonts w:ascii="Times New Roman" w:hAnsi="Times New Roman"/>
          <w:bCs/>
          <w:sz w:val="20"/>
        </w:rPr>
        <w:t xml:space="preserve">Tak więc naszą misją jako adwentystów dnia siódmego jest nie dopuszczać do kompromisów między prawdą Słowa Bożego a fałszem oraz wzywać zarówno chrześcijan, jak i pozostałych mieszkańców świata, by skierowali swoją uwagę na ofiarę Chrystusa na Ziemi i Jego pośrednictwo w niebiańskiej świątyni. </w:t>
      </w:r>
      <w:proofErr w:type="spellStart"/>
      <w:r w:rsidRPr="00074492">
        <w:rPr>
          <w:rFonts w:ascii="Times New Roman" w:hAnsi="Times New Roman"/>
          <w:bCs/>
          <w:sz w:val="20"/>
          <w:lang w:val="en-US"/>
        </w:rPr>
        <w:t>Więcej</w:t>
      </w:r>
      <w:proofErr w:type="spellEnd"/>
      <w:r w:rsidRPr="00074492">
        <w:rPr>
          <w:rFonts w:ascii="Times New Roman" w:hAnsi="Times New Roman"/>
          <w:bCs/>
          <w:sz w:val="20"/>
          <w:lang w:val="en-US"/>
        </w:rPr>
        <w:t xml:space="preserve"> </w:t>
      </w:r>
      <w:proofErr w:type="spellStart"/>
      <w:r w:rsidRPr="00074492">
        <w:rPr>
          <w:rFonts w:ascii="Times New Roman" w:hAnsi="Times New Roman"/>
          <w:bCs/>
          <w:sz w:val="20"/>
          <w:lang w:val="en-US"/>
        </w:rPr>
        <w:t>na</w:t>
      </w:r>
      <w:proofErr w:type="spellEnd"/>
      <w:r w:rsidRPr="00074492">
        <w:rPr>
          <w:rFonts w:ascii="Times New Roman" w:hAnsi="Times New Roman"/>
          <w:bCs/>
          <w:sz w:val="20"/>
          <w:lang w:val="en-US"/>
        </w:rPr>
        <w:t xml:space="preserve"> ten </w:t>
      </w:r>
      <w:proofErr w:type="spellStart"/>
      <w:r w:rsidRPr="00074492">
        <w:rPr>
          <w:rFonts w:ascii="Times New Roman" w:hAnsi="Times New Roman"/>
          <w:bCs/>
          <w:sz w:val="20"/>
          <w:lang w:val="en-US"/>
        </w:rPr>
        <w:t>temat</w:t>
      </w:r>
      <w:proofErr w:type="spellEnd"/>
      <w:r w:rsidRPr="00074492">
        <w:rPr>
          <w:rFonts w:ascii="Times New Roman" w:hAnsi="Times New Roman"/>
          <w:bCs/>
          <w:sz w:val="20"/>
          <w:lang w:val="en-US"/>
        </w:rPr>
        <w:t xml:space="preserve"> </w:t>
      </w:r>
      <w:proofErr w:type="spellStart"/>
      <w:r w:rsidRPr="00074492">
        <w:rPr>
          <w:rFonts w:ascii="Times New Roman" w:hAnsi="Times New Roman"/>
          <w:bCs/>
          <w:sz w:val="20"/>
          <w:lang w:val="en-US"/>
        </w:rPr>
        <w:t>zob</w:t>
      </w:r>
      <w:proofErr w:type="spellEnd"/>
      <w:r w:rsidRPr="00074492">
        <w:rPr>
          <w:rFonts w:ascii="Times New Roman" w:hAnsi="Times New Roman"/>
          <w:bCs/>
          <w:sz w:val="20"/>
          <w:lang w:val="en-US"/>
        </w:rPr>
        <w:t xml:space="preserve">. w: </w:t>
      </w:r>
      <w:r w:rsidRPr="00074492">
        <w:rPr>
          <w:rFonts w:ascii="Times New Roman" w:hAnsi="Times New Roman"/>
          <w:sz w:val="20"/>
          <w:lang w:val="en-US"/>
        </w:rPr>
        <w:t xml:space="preserve">Ángel Manuel Rodríguez, „The Heavenly Sanctuary”, w: </w:t>
      </w:r>
      <w:r w:rsidRPr="00074492">
        <w:rPr>
          <w:rFonts w:ascii="Times New Roman" w:hAnsi="Times New Roman"/>
          <w:i/>
          <w:iCs/>
          <w:sz w:val="20"/>
          <w:lang w:val="en-US"/>
        </w:rPr>
        <w:t>Handbook of Seventh-day Adventist Theology</w:t>
      </w:r>
      <w:r w:rsidRPr="00074492">
        <w:rPr>
          <w:rFonts w:ascii="Times New Roman" w:hAnsi="Times New Roman"/>
          <w:sz w:val="20"/>
          <w:lang w:val="en-US"/>
        </w:rPr>
        <w:t>, s. 381-382.403-406</w:t>
      </w:r>
      <w:r w:rsidRPr="00074492">
        <w:rPr>
          <w:rFonts w:ascii="Times New Roman" w:hAnsi="Times New Roman"/>
          <w:bCs/>
          <w:sz w:val="20"/>
          <w:lang w:val="en-US"/>
        </w:rPr>
        <w:t>.</w:t>
      </w:r>
    </w:p>
    <w:p w14:paraId="5A3C9CC5" w14:textId="77777777" w:rsidR="00CC4075" w:rsidRPr="00074492" w:rsidRDefault="00CC4075" w:rsidP="00CC4075">
      <w:pPr>
        <w:rPr>
          <w:rFonts w:ascii="Times New Roman" w:hAnsi="Times New Roman"/>
          <w:bCs/>
          <w:sz w:val="20"/>
          <w:lang w:val="en-US"/>
        </w:rPr>
      </w:pPr>
    </w:p>
    <w:p w14:paraId="625718F7" w14:textId="77777777" w:rsidR="00CC4075" w:rsidRPr="00074492" w:rsidRDefault="00CC4075" w:rsidP="00CC4075">
      <w:pPr>
        <w:rPr>
          <w:rFonts w:ascii="Times New Roman" w:hAnsi="Times New Roman"/>
          <w:sz w:val="20"/>
        </w:rPr>
      </w:pPr>
      <w:r w:rsidRPr="00074492">
        <w:rPr>
          <w:rFonts w:ascii="Times New Roman" w:hAnsi="Times New Roman"/>
          <w:b/>
          <w:sz w:val="20"/>
        </w:rPr>
        <w:t>Część III: Zastosowanie</w:t>
      </w:r>
    </w:p>
    <w:p w14:paraId="4265AF0C" w14:textId="77777777" w:rsidR="00CC4075" w:rsidRPr="00074492" w:rsidRDefault="00CC4075" w:rsidP="00CC4075">
      <w:pPr>
        <w:rPr>
          <w:rFonts w:ascii="Times New Roman" w:hAnsi="Times New Roman"/>
          <w:sz w:val="20"/>
        </w:rPr>
      </w:pPr>
    </w:p>
    <w:p w14:paraId="51F927BD" w14:textId="77777777" w:rsidR="00CC4075" w:rsidRPr="00074492" w:rsidRDefault="00CC4075" w:rsidP="00CC4075">
      <w:pPr>
        <w:rPr>
          <w:rFonts w:ascii="Times New Roman" w:hAnsi="Times New Roman"/>
          <w:bCs/>
          <w:sz w:val="20"/>
        </w:rPr>
      </w:pPr>
      <w:r w:rsidRPr="00074492">
        <w:rPr>
          <w:rFonts w:ascii="Times New Roman" w:hAnsi="Times New Roman"/>
          <w:bCs/>
          <w:sz w:val="20"/>
        </w:rPr>
        <w:t>1. Zastanów się nad koncepcją kapłaństwa w twojej kulturze. Jak ta koncepcja ma się do biblijnego pojęcia kapłaństwa? Jak możesz się posłużyć miejscową koncepcją kapłaństwa, by wskazywać bliźnim kapłaństwo Jezusa?</w:t>
      </w:r>
    </w:p>
    <w:p w14:paraId="5E766955" w14:textId="77777777" w:rsidR="00CC4075" w:rsidRPr="00074492" w:rsidRDefault="00CC4075" w:rsidP="00CC4075">
      <w:pPr>
        <w:rPr>
          <w:rFonts w:ascii="Times New Roman" w:hAnsi="Times New Roman"/>
          <w:bCs/>
          <w:sz w:val="20"/>
        </w:rPr>
      </w:pPr>
    </w:p>
    <w:p w14:paraId="7FB3BC64" w14:textId="77777777" w:rsidR="00CC4075" w:rsidRPr="00074492" w:rsidRDefault="00CC4075" w:rsidP="00CC4075">
      <w:pPr>
        <w:rPr>
          <w:rFonts w:ascii="Times New Roman" w:hAnsi="Times New Roman"/>
          <w:bCs/>
          <w:sz w:val="20"/>
        </w:rPr>
      </w:pPr>
      <w:r w:rsidRPr="00074492">
        <w:rPr>
          <w:rFonts w:ascii="Times New Roman" w:hAnsi="Times New Roman"/>
          <w:bCs/>
          <w:sz w:val="20"/>
        </w:rPr>
        <w:t>...</w:t>
      </w:r>
    </w:p>
    <w:p w14:paraId="2D4F325A" w14:textId="77777777" w:rsidR="00CC4075" w:rsidRPr="00074492" w:rsidRDefault="00CC4075" w:rsidP="00CC4075">
      <w:pPr>
        <w:rPr>
          <w:rFonts w:ascii="Times New Roman" w:hAnsi="Times New Roman"/>
          <w:bCs/>
          <w:sz w:val="20"/>
        </w:rPr>
      </w:pPr>
    </w:p>
    <w:p w14:paraId="524B816F" w14:textId="77777777" w:rsidR="00CC4075" w:rsidRPr="00074492" w:rsidRDefault="00CC4075" w:rsidP="00CC4075">
      <w:pPr>
        <w:rPr>
          <w:rFonts w:ascii="Times New Roman" w:hAnsi="Times New Roman"/>
          <w:bCs/>
          <w:sz w:val="20"/>
        </w:rPr>
      </w:pPr>
      <w:r w:rsidRPr="00074492">
        <w:rPr>
          <w:rFonts w:ascii="Times New Roman" w:hAnsi="Times New Roman"/>
          <w:bCs/>
          <w:sz w:val="20"/>
        </w:rPr>
        <w:t>2. Zastanów się nad koncepcją sądu funkcjonującą w twojej kulturze czy kraju. Jak ta koncepcja sądu ma się do biblijnego pojęcia sądu? Jak możesz wyjaśnić biblijne znaczenie sądu ludziom w twojej kulturze?</w:t>
      </w:r>
    </w:p>
    <w:p w14:paraId="35B157E4" w14:textId="264B9856" w:rsidR="00CC4075" w:rsidRPr="00074492" w:rsidRDefault="00CC4075" w:rsidP="00CC4075">
      <w:pPr>
        <w:rPr>
          <w:rFonts w:ascii="Times New Roman" w:hAnsi="Times New Roman"/>
          <w:bCs/>
          <w:sz w:val="20"/>
        </w:rPr>
      </w:pPr>
    </w:p>
    <w:p w14:paraId="25FA607D" w14:textId="3D1FEABE" w:rsidR="006A2EC2" w:rsidRPr="00267B4D" w:rsidRDefault="00953B10" w:rsidP="00CC4075">
      <w:pPr>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F26FFF9" wp14:editId="0F7109C7">
                <wp:simplePos x="0" y="0"/>
                <wp:positionH relativeFrom="column">
                  <wp:posOffset>-274955</wp:posOffset>
                </wp:positionH>
                <wp:positionV relativeFrom="paragraph">
                  <wp:posOffset>171450</wp:posOffset>
                </wp:positionV>
                <wp:extent cx="6324600" cy="2095500"/>
                <wp:effectExtent l="0" t="0" r="0" b="0"/>
                <wp:wrapNone/>
                <wp:docPr id="675440893" name="Pole tekstowe 2"/>
                <wp:cNvGraphicFramePr/>
                <a:graphic xmlns:a="http://schemas.openxmlformats.org/drawingml/2006/main">
                  <a:graphicData uri="http://schemas.microsoft.com/office/word/2010/wordprocessingShape">
                    <wps:wsp>
                      <wps:cNvSpPr txBox="1"/>
                      <wps:spPr>
                        <a:xfrm>
                          <a:off x="0" y="0"/>
                          <a:ext cx="6324600" cy="2095500"/>
                        </a:xfrm>
                        <a:prstGeom prst="rect">
                          <a:avLst/>
                        </a:prstGeom>
                        <a:solidFill>
                          <a:schemeClr val="lt1"/>
                        </a:solidFill>
                        <a:ln w="6350">
                          <a:noFill/>
                        </a:ln>
                      </wps:spPr>
                      <wps:txbx>
                        <w:txbxContent>
                          <w:tbl>
                            <w:tblPr>
                              <w:tblStyle w:val="Tabela-Siatka"/>
                              <w:tblW w:w="8789" w:type="dxa"/>
                              <w:jc w:val="center"/>
                              <w:tblInd w:w="0" w:type="dxa"/>
                              <w:tblLook w:val="04A0" w:firstRow="1" w:lastRow="0" w:firstColumn="1" w:lastColumn="0" w:noHBand="0" w:noVBand="1"/>
                            </w:tblPr>
                            <w:tblGrid>
                              <w:gridCol w:w="1648"/>
                              <w:gridCol w:w="3455"/>
                              <w:gridCol w:w="3686"/>
                            </w:tblGrid>
                            <w:tr w:rsidR="00953B10" w14:paraId="24F2F2A3" w14:textId="77777777">
                              <w:trPr>
                                <w:trHeight w:hRule="exact" w:val="2841"/>
                                <w:jc w:val="center"/>
                              </w:trPr>
                              <w:tc>
                                <w:tcPr>
                                  <w:tcW w:w="1648" w:type="dxa"/>
                                  <w:tcBorders>
                                    <w:top w:val="single" w:sz="4" w:space="0" w:color="auto"/>
                                    <w:left w:val="single" w:sz="4" w:space="0" w:color="auto"/>
                                    <w:bottom w:val="single" w:sz="4" w:space="0" w:color="auto"/>
                                    <w:right w:val="single" w:sz="4" w:space="0" w:color="auto"/>
                                  </w:tcBorders>
                                  <w:hideMark/>
                                </w:tcPr>
                                <w:p w14:paraId="40F59CC5" w14:textId="0EC2071C" w:rsidR="00953B10" w:rsidRDefault="00953B10">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4636D77C" wp14:editId="1DEA7585">
                                        <wp:extent cx="884555" cy="830537"/>
                                        <wp:effectExtent l="0" t="0" r="0" b="8255"/>
                                        <wp:docPr id="1489729780"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44429113"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686" cy="844744"/>
                                                </a:xfrm>
                                                <a:prstGeom prst="rect">
                                                  <a:avLst/>
                                                </a:prstGeom>
                                                <a:noFill/>
                                                <a:ln>
                                                  <a:noFill/>
                                                </a:ln>
                                              </pic:spPr>
                                            </pic:pic>
                                          </a:graphicData>
                                        </a:graphic>
                                      </wp:inline>
                                    </w:drawing>
                                  </w:r>
                                </w:p>
                              </w:tc>
                              <w:tc>
                                <w:tcPr>
                                  <w:tcW w:w="3455" w:type="dxa"/>
                                  <w:tcBorders>
                                    <w:top w:val="single" w:sz="4" w:space="0" w:color="auto"/>
                                    <w:left w:val="single" w:sz="4" w:space="0" w:color="auto"/>
                                    <w:bottom w:val="single" w:sz="4" w:space="0" w:color="auto"/>
                                    <w:right w:val="single" w:sz="4" w:space="0" w:color="auto"/>
                                  </w:tcBorders>
                                </w:tcPr>
                                <w:p w14:paraId="298BFA8C" w14:textId="77777777" w:rsidR="00953B10" w:rsidRDefault="00953B10">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7A17A38C" w14:textId="77777777" w:rsidR="00953B10" w:rsidRDefault="00953B10" w:rsidP="00953B10">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77EA3821" w14:textId="77777777" w:rsidR="00953B10" w:rsidRDefault="00953B10" w:rsidP="00953B10">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6F783702" w14:textId="77777777" w:rsidR="00953B10" w:rsidRDefault="00953B10">
                                  <w:pPr>
                                    <w:spacing w:line="276" w:lineRule="auto"/>
                                    <w:ind w:left="209" w:firstLine="0"/>
                                    <w:contextualSpacing/>
                                    <w:jc w:val="left"/>
                                    <w:rPr>
                                      <w:rFonts w:ascii="Aptos" w:eastAsia="Aptos" w:hAnsi="Aptos"/>
                                      <w:b/>
                                      <w:bCs/>
                                      <w:sz w:val="18"/>
                                      <w:szCs w:val="18"/>
                                      <w:lang w:eastAsia="en-US"/>
                                    </w:rPr>
                                  </w:pPr>
                                </w:p>
                                <w:p w14:paraId="71E32CA7" w14:textId="77777777" w:rsidR="00953B10" w:rsidRDefault="00953B10">
                                  <w:pPr>
                                    <w:spacing w:line="276" w:lineRule="auto"/>
                                    <w:ind w:left="209" w:firstLine="0"/>
                                    <w:contextualSpacing/>
                                    <w:jc w:val="center"/>
                                    <w:rPr>
                                      <w:rFonts w:ascii="Aptos" w:eastAsia="Aptos" w:hAnsi="Aptos"/>
                                      <w:b/>
                                      <w:bCs/>
                                      <w:sz w:val="18"/>
                                      <w:szCs w:val="18"/>
                                      <w:lang w:eastAsia="en-US"/>
                                    </w:rPr>
                                  </w:pPr>
                                </w:p>
                                <w:p w14:paraId="3334F649" w14:textId="77777777" w:rsidR="00953B10" w:rsidRDefault="00BF08D5">
                                  <w:pPr>
                                    <w:spacing w:line="276" w:lineRule="auto"/>
                                    <w:ind w:left="209" w:firstLine="0"/>
                                    <w:contextualSpacing/>
                                    <w:jc w:val="center"/>
                                    <w:rPr>
                                      <w:rFonts w:ascii="Aptos" w:eastAsia="Aptos" w:hAnsi="Aptos"/>
                                      <w:b/>
                                      <w:bCs/>
                                      <w:sz w:val="18"/>
                                      <w:szCs w:val="18"/>
                                      <w:lang w:eastAsia="en-US"/>
                                    </w:rPr>
                                  </w:pPr>
                                  <w:hyperlink r:id="rId12" w:history="1">
                                    <w:r w:rsidR="00953B10">
                                      <w:rPr>
                                        <w:rStyle w:val="Hipercze"/>
                                        <w:rFonts w:ascii="Aptos" w:eastAsia="Aptos" w:hAnsi="Aptos"/>
                                        <w:b/>
                                        <w:bCs/>
                                        <w:color w:val="467886"/>
                                        <w:sz w:val="18"/>
                                        <w:szCs w:val="18"/>
                                        <w:lang w:eastAsia="en-US"/>
                                      </w:rPr>
                                      <w:t>www.adwent.pl</w:t>
                                    </w:r>
                                  </w:hyperlink>
                                  <w:r w:rsidR="00953B10">
                                    <w:rPr>
                                      <w:rFonts w:ascii="Aptos" w:eastAsia="Aptos" w:hAnsi="Aptos"/>
                                      <w:b/>
                                      <w:bCs/>
                                      <w:sz w:val="18"/>
                                      <w:szCs w:val="18"/>
                                      <w:lang w:eastAsia="en-US"/>
                                    </w:rPr>
                                    <w:t xml:space="preserve"> </w:t>
                                  </w:r>
                                </w:p>
                                <w:p w14:paraId="11D90C7D" w14:textId="77777777" w:rsidR="00953B10" w:rsidRDefault="00953B10">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tc>
                              <w:tc>
                                <w:tcPr>
                                  <w:tcW w:w="3686" w:type="dxa"/>
                                  <w:tcBorders>
                                    <w:top w:val="single" w:sz="4" w:space="0" w:color="auto"/>
                                    <w:left w:val="single" w:sz="4" w:space="0" w:color="auto"/>
                                    <w:bottom w:val="single" w:sz="4" w:space="0" w:color="auto"/>
                                    <w:right w:val="single" w:sz="4" w:space="0" w:color="auto"/>
                                  </w:tcBorders>
                                  <w:hideMark/>
                                </w:tcPr>
                                <w:p w14:paraId="4EC0D334" w14:textId="77777777" w:rsidR="00953B10" w:rsidRDefault="00953B10">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567349C8" w14:textId="77777777" w:rsidR="00953B10" w:rsidRDefault="00953B10" w:rsidP="00953B10">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1FE259F8" w14:textId="77777777" w:rsidR="00953B10" w:rsidRDefault="00953B10" w:rsidP="00953B10">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49A2508A" w14:textId="77777777" w:rsidR="00953B10" w:rsidRDefault="00953B10" w:rsidP="00953B10">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72F8A8FA" w14:textId="77777777" w:rsidR="00953B10" w:rsidRDefault="00953B10" w:rsidP="00953B10">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48777FC6" w14:textId="77777777" w:rsidR="00953B10" w:rsidRDefault="00953B10">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2B6D99A3" w14:textId="77777777" w:rsidR="00953B10" w:rsidRDefault="00953B10">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26ABB95D" w14:textId="77777777" w:rsidR="00953B10" w:rsidRDefault="00953B10">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1753267E" w14:textId="77777777" w:rsidR="00953B10" w:rsidRDefault="00953B10" w:rsidP="00953B10"/>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6FFF9" id="_x0000_t202" coordsize="21600,21600" o:spt="202" path="m,l,21600r21600,l21600,xe">
                <v:stroke joinstyle="miter"/>
                <v:path gradientshapeok="t" o:connecttype="rect"/>
              </v:shapetype>
              <v:shape id="Pole tekstowe 2" o:spid="_x0000_s1026" type="#_x0000_t202" style="position:absolute;left:0;text-align:left;margin-left:-21.65pt;margin-top:13.5pt;width:498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" fillcolor="white [3201]" stroked="f" strokeweight=".5pt">
                <v:textbox>
                  <w:txbxContent>
                    <w:tbl>
                      <w:tblPr>
                        <w:tblStyle w:val="Tabela-Siatka"/>
                        <w:tblW w:w="8789" w:type="dxa"/>
                        <w:jc w:val="center"/>
                        <w:tblInd w:w="0" w:type="dxa"/>
                        <w:tblLook w:val="04A0" w:firstRow="1" w:lastRow="0" w:firstColumn="1" w:lastColumn="0" w:noHBand="0" w:noVBand="1"/>
                      </w:tblPr>
                      <w:tblGrid>
                        <w:gridCol w:w="1648"/>
                        <w:gridCol w:w="3455"/>
                        <w:gridCol w:w="3686"/>
                      </w:tblGrid>
                      <w:tr w:rsidR="00953B10" w14:paraId="24F2F2A3" w14:textId="77777777">
                        <w:trPr>
                          <w:trHeight w:hRule="exact" w:val="2841"/>
                          <w:jc w:val="center"/>
                        </w:trPr>
                        <w:tc>
                          <w:tcPr>
                            <w:tcW w:w="1648" w:type="dxa"/>
                            <w:tcBorders>
                              <w:top w:val="single" w:sz="4" w:space="0" w:color="auto"/>
                              <w:left w:val="single" w:sz="4" w:space="0" w:color="auto"/>
                              <w:bottom w:val="single" w:sz="4" w:space="0" w:color="auto"/>
                              <w:right w:val="single" w:sz="4" w:space="0" w:color="auto"/>
                            </w:tcBorders>
                            <w:hideMark/>
                          </w:tcPr>
                          <w:p w14:paraId="40F59CC5" w14:textId="0EC2071C" w:rsidR="00953B10" w:rsidRDefault="00953B10">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4636D77C" wp14:editId="1DEA7585">
                                  <wp:extent cx="884555" cy="830537"/>
                                  <wp:effectExtent l="0" t="0" r="0" b="8255"/>
                                  <wp:docPr id="1489729780"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44429113"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686" cy="844744"/>
                                          </a:xfrm>
                                          <a:prstGeom prst="rect">
                                            <a:avLst/>
                                          </a:prstGeom>
                                          <a:noFill/>
                                          <a:ln>
                                            <a:noFill/>
                                          </a:ln>
                                        </pic:spPr>
                                      </pic:pic>
                                    </a:graphicData>
                                  </a:graphic>
                                </wp:inline>
                              </w:drawing>
                            </w:r>
                          </w:p>
                        </w:tc>
                        <w:tc>
                          <w:tcPr>
                            <w:tcW w:w="3455" w:type="dxa"/>
                            <w:tcBorders>
                              <w:top w:val="single" w:sz="4" w:space="0" w:color="auto"/>
                              <w:left w:val="single" w:sz="4" w:space="0" w:color="auto"/>
                              <w:bottom w:val="single" w:sz="4" w:space="0" w:color="auto"/>
                              <w:right w:val="single" w:sz="4" w:space="0" w:color="auto"/>
                            </w:tcBorders>
                          </w:tcPr>
                          <w:p w14:paraId="298BFA8C" w14:textId="77777777" w:rsidR="00953B10" w:rsidRDefault="00953B10">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7A17A38C" w14:textId="77777777" w:rsidR="00953B10" w:rsidRDefault="00953B10" w:rsidP="00953B10">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77EA3821" w14:textId="77777777" w:rsidR="00953B10" w:rsidRDefault="00953B10" w:rsidP="00953B10">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6F783702" w14:textId="77777777" w:rsidR="00953B10" w:rsidRDefault="00953B10">
                            <w:pPr>
                              <w:spacing w:line="276" w:lineRule="auto"/>
                              <w:ind w:left="209" w:firstLine="0"/>
                              <w:contextualSpacing/>
                              <w:jc w:val="left"/>
                              <w:rPr>
                                <w:rFonts w:ascii="Aptos" w:eastAsia="Aptos" w:hAnsi="Aptos"/>
                                <w:b/>
                                <w:bCs/>
                                <w:sz w:val="18"/>
                                <w:szCs w:val="18"/>
                                <w:lang w:eastAsia="en-US"/>
                              </w:rPr>
                            </w:pPr>
                          </w:p>
                          <w:p w14:paraId="71E32CA7" w14:textId="77777777" w:rsidR="00953B10" w:rsidRDefault="00953B10">
                            <w:pPr>
                              <w:spacing w:line="276" w:lineRule="auto"/>
                              <w:ind w:left="209" w:firstLine="0"/>
                              <w:contextualSpacing/>
                              <w:jc w:val="center"/>
                              <w:rPr>
                                <w:rFonts w:ascii="Aptos" w:eastAsia="Aptos" w:hAnsi="Aptos"/>
                                <w:b/>
                                <w:bCs/>
                                <w:sz w:val="18"/>
                                <w:szCs w:val="18"/>
                                <w:lang w:eastAsia="en-US"/>
                              </w:rPr>
                            </w:pPr>
                          </w:p>
                          <w:p w14:paraId="3334F649" w14:textId="77777777" w:rsidR="00953B10" w:rsidRDefault="00BF08D5">
                            <w:pPr>
                              <w:spacing w:line="276" w:lineRule="auto"/>
                              <w:ind w:left="209" w:firstLine="0"/>
                              <w:contextualSpacing/>
                              <w:jc w:val="center"/>
                              <w:rPr>
                                <w:rFonts w:ascii="Aptos" w:eastAsia="Aptos" w:hAnsi="Aptos"/>
                                <w:b/>
                                <w:bCs/>
                                <w:sz w:val="18"/>
                                <w:szCs w:val="18"/>
                                <w:lang w:eastAsia="en-US"/>
                              </w:rPr>
                            </w:pPr>
                            <w:hyperlink r:id="rId13" w:history="1">
                              <w:r w:rsidR="00953B10">
                                <w:rPr>
                                  <w:rStyle w:val="Hipercze"/>
                                  <w:rFonts w:ascii="Aptos" w:eastAsia="Aptos" w:hAnsi="Aptos"/>
                                  <w:b/>
                                  <w:bCs/>
                                  <w:color w:val="467886"/>
                                  <w:sz w:val="18"/>
                                  <w:szCs w:val="18"/>
                                  <w:lang w:eastAsia="en-US"/>
                                </w:rPr>
                                <w:t>www.adwent.pl</w:t>
                              </w:r>
                            </w:hyperlink>
                            <w:r w:rsidR="00953B10">
                              <w:rPr>
                                <w:rFonts w:ascii="Aptos" w:eastAsia="Aptos" w:hAnsi="Aptos"/>
                                <w:b/>
                                <w:bCs/>
                                <w:sz w:val="18"/>
                                <w:szCs w:val="18"/>
                                <w:lang w:eastAsia="en-US"/>
                              </w:rPr>
                              <w:t xml:space="preserve"> </w:t>
                            </w:r>
                          </w:p>
                          <w:p w14:paraId="11D90C7D" w14:textId="77777777" w:rsidR="00953B10" w:rsidRDefault="00953B10">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tc>
                        <w:tc>
                          <w:tcPr>
                            <w:tcW w:w="3686" w:type="dxa"/>
                            <w:tcBorders>
                              <w:top w:val="single" w:sz="4" w:space="0" w:color="auto"/>
                              <w:left w:val="single" w:sz="4" w:space="0" w:color="auto"/>
                              <w:bottom w:val="single" w:sz="4" w:space="0" w:color="auto"/>
                              <w:right w:val="single" w:sz="4" w:space="0" w:color="auto"/>
                            </w:tcBorders>
                            <w:hideMark/>
                          </w:tcPr>
                          <w:p w14:paraId="4EC0D334" w14:textId="77777777" w:rsidR="00953B10" w:rsidRDefault="00953B10">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567349C8" w14:textId="77777777" w:rsidR="00953B10" w:rsidRDefault="00953B10" w:rsidP="00953B10">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1FE259F8" w14:textId="77777777" w:rsidR="00953B10" w:rsidRDefault="00953B10" w:rsidP="00953B10">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49A2508A" w14:textId="77777777" w:rsidR="00953B10" w:rsidRDefault="00953B10" w:rsidP="00953B10">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72F8A8FA" w14:textId="77777777" w:rsidR="00953B10" w:rsidRDefault="00953B10" w:rsidP="00953B10">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48777FC6" w14:textId="77777777" w:rsidR="00953B10" w:rsidRDefault="00953B10">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2B6D99A3" w14:textId="77777777" w:rsidR="00953B10" w:rsidRDefault="00953B10">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26ABB95D" w14:textId="77777777" w:rsidR="00953B10" w:rsidRDefault="00953B10">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1753267E" w14:textId="77777777" w:rsidR="00953B10" w:rsidRDefault="00953B10" w:rsidP="00953B10"/>
                  </w:txbxContent>
                </v:textbox>
              </v:shape>
            </w:pict>
          </mc:Fallback>
        </mc:AlternateContent>
      </w:r>
    </w:p>
    <w:sectPr w:rsidR="006A2EC2" w:rsidRPr="00267B4D" w:rsidSect="00695B50">
      <w:headerReference w:type="default" r:id="rId14"/>
      <w:footerReference w:type="default" r:id="rId15"/>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67C2A" w14:textId="77777777" w:rsidR="00695B50" w:rsidRDefault="00695B50" w:rsidP="00A820C9">
      <w:r>
        <w:separator/>
      </w:r>
    </w:p>
  </w:endnote>
  <w:endnote w:type="continuationSeparator" w:id="0">
    <w:p w14:paraId="4A8EB2A6" w14:textId="77777777" w:rsidR="00695B50" w:rsidRDefault="00695B50"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BAB72" w14:textId="77777777" w:rsidR="00695B50" w:rsidRDefault="00695B50" w:rsidP="00A820C9">
      <w:r>
        <w:separator/>
      </w:r>
    </w:p>
  </w:footnote>
  <w:footnote w:type="continuationSeparator" w:id="0">
    <w:p w14:paraId="6BC605BA" w14:textId="77777777" w:rsidR="00695B50" w:rsidRDefault="00695B50"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291A6" w14:textId="1F3EEF11" w:rsidR="008A462C" w:rsidRPr="008A462C" w:rsidRDefault="00B2361E" w:rsidP="008A46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bCs/>
        <w:i/>
        <w:iCs/>
        <w:sz w:val="16"/>
        <w:szCs w:val="16"/>
      </w:rPr>
    </w:pPr>
    <w:r w:rsidRPr="00B2361E">
      <w:rPr>
        <w:rFonts w:ascii="Times New Roman" w:eastAsia="MS PMincho" w:hAnsi="Times New Roman"/>
        <w:sz w:val="16"/>
        <w:szCs w:val="16"/>
      </w:rPr>
      <w:t xml:space="preserve">Lekcje Biblijne </w:t>
    </w:r>
    <w:r w:rsidR="00FA7C51">
      <w:rPr>
        <w:rFonts w:ascii="Times New Roman" w:eastAsia="MS PMincho" w:hAnsi="Times New Roman"/>
        <w:sz w:val="16"/>
        <w:szCs w:val="16"/>
      </w:rPr>
      <w:t>2</w:t>
    </w:r>
    <w:r w:rsidR="00617CBE">
      <w:rPr>
        <w:rFonts w:ascii="Times New Roman" w:eastAsia="MS PMincho" w:hAnsi="Times New Roman"/>
        <w:sz w:val="16"/>
        <w:szCs w:val="16"/>
      </w:rPr>
      <w:t>/2</w:t>
    </w:r>
    <w:r w:rsidRPr="00B2361E">
      <w:rPr>
        <w:rFonts w:ascii="Times New Roman" w:eastAsia="MS PMincho" w:hAnsi="Times New Roman"/>
        <w:sz w:val="16"/>
        <w:szCs w:val="16"/>
      </w:rPr>
      <w:t>0</w:t>
    </w:r>
    <w:r w:rsidR="002263D7">
      <w:rPr>
        <w:rFonts w:ascii="Times New Roman" w:eastAsia="MS PMincho" w:hAnsi="Times New Roman"/>
        <w:sz w:val="16"/>
        <w:szCs w:val="16"/>
      </w:rPr>
      <w:t>24</w:t>
    </w:r>
    <w:r w:rsidRPr="00B2361E">
      <w:rPr>
        <w:rFonts w:ascii="Times New Roman" w:eastAsia="MS PMincho" w:hAnsi="Times New Roman"/>
        <w:sz w:val="16"/>
        <w:szCs w:val="16"/>
      </w:rPr>
      <w:t>,</w:t>
    </w:r>
    <w:r w:rsidR="00C825E3">
      <w:rPr>
        <w:rFonts w:ascii="Times New Roman" w:eastAsia="MS PMincho" w:hAnsi="Times New Roman"/>
        <w:sz w:val="16"/>
        <w:szCs w:val="16"/>
      </w:rPr>
      <w:t xml:space="preserve"> </w:t>
    </w:r>
    <w:r w:rsidR="00A75F4C">
      <w:rPr>
        <w:rFonts w:ascii="Times New Roman" w:hAnsi="Times New Roman"/>
        <w:sz w:val="16"/>
        <w:szCs w:val="16"/>
      </w:rPr>
      <w:t>Mark Finley</w:t>
    </w:r>
    <w:r w:rsidR="00203AFA" w:rsidRPr="00203AFA">
      <w:rPr>
        <w:rFonts w:ascii="Times New Roman" w:hAnsi="Times New Roman"/>
        <w:sz w:val="16"/>
        <w:szCs w:val="16"/>
      </w:rPr>
      <w:t xml:space="preserve">, </w:t>
    </w:r>
    <w:r w:rsidR="00A75F4C">
      <w:rPr>
        <w:rFonts w:ascii="Times New Roman" w:hAnsi="Times New Roman"/>
        <w:i/>
        <w:iCs/>
        <w:sz w:val="16"/>
        <w:szCs w:val="16"/>
      </w:rPr>
      <w:t>Wielki bój</w:t>
    </w:r>
    <w:r w:rsidR="0020180D">
      <w:rPr>
        <w:rFonts w:ascii="Times New Roman" w:hAnsi="Times New Roman"/>
        <w:i/>
        <w:iCs/>
        <w:sz w:val="16"/>
        <w:szCs w:val="16"/>
      </w:rPr>
      <w:t xml:space="preserve">, </w:t>
    </w:r>
    <w:r w:rsidRPr="00B2361E">
      <w:rPr>
        <w:rFonts w:ascii="Times New Roman" w:hAnsi="Times New Roman"/>
        <w:sz w:val="16"/>
        <w:szCs w:val="16"/>
      </w:rPr>
      <w:t>Przewodnik dla nauczycieli, Lekcja</w:t>
    </w:r>
    <w:r w:rsidR="00AD3DB7">
      <w:rPr>
        <w:rFonts w:ascii="Times New Roman" w:hAnsi="Times New Roman"/>
        <w:sz w:val="16"/>
        <w:szCs w:val="16"/>
      </w:rPr>
      <w:t xml:space="preserve"> </w:t>
    </w:r>
    <w:r w:rsidR="00CC4075">
      <w:rPr>
        <w:rFonts w:ascii="Times New Roman" w:hAnsi="Times New Roman"/>
        <w:sz w:val="16"/>
        <w:szCs w:val="16"/>
      </w:rPr>
      <w:t>8</w:t>
    </w:r>
    <w:r w:rsidR="00D07327">
      <w:rPr>
        <w:rFonts w:ascii="Times New Roman" w:hAnsi="Times New Roman"/>
        <w:sz w:val="16"/>
        <w:szCs w:val="16"/>
      </w:rPr>
      <w:t xml:space="preserve">- </w:t>
    </w:r>
    <w:r w:rsidR="00CC4075">
      <w:rPr>
        <w:rFonts w:ascii="Times New Roman" w:hAnsi="Times New Roman"/>
        <w:bCs/>
        <w:i/>
        <w:iCs/>
        <w:sz w:val="16"/>
        <w:szCs w:val="16"/>
      </w:rPr>
      <w:t>Światło ze świątyni</w:t>
    </w:r>
  </w:p>
  <w:p w14:paraId="6EFDA48C" w14:textId="1CBA8711" w:rsidR="0059400D" w:rsidRPr="008A462C" w:rsidRDefault="0059400D" w:rsidP="00735A04">
    <w:pPr>
      <w:ind w:firstLine="0"/>
      <w:jc w:val="left"/>
      <w:rPr>
        <w:rFonts w:ascii="Times New Roman" w:hAnsi="Times New Roman"/>
        <w:bCs/>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DE3653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14717058">
    <w:abstractNumId w:val="2"/>
  </w:num>
  <w:num w:numId="5" w16cid:durableId="135098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5461"/>
    <w:rsid w:val="00005F5E"/>
    <w:rsid w:val="00006FBF"/>
    <w:rsid w:val="0001246D"/>
    <w:rsid w:val="000127CA"/>
    <w:rsid w:val="0001666C"/>
    <w:rsid w:val="0002114D"/>
    <w:rsid w:val="00021809"/>
    <w:rsid w:val="000221F7"/>
    <w:rsid w:val="00025090"/>
    <w:rsid w:val="00026501"/>
    <w:rsid w:val="00027C13"/>
    <w:rsid w:val="000314C7"/>
    <w:rsid w:val="00034222"/>
    <w:rsid w:val="00035493"/>
    <w:rsid w:val="00041B9C"/>
    <w:rsid w:val="0004300C"/>
    <w:rsid w:val="000453F3"/>
    <w:rsid w:val="0005026A"/>
    <w:rsid w:val="000520B7"/>
    <w:rsid w:val="00053FFB"/>
    <w:rsid w:val="00057016"/>
    <w:rsid w:val="00057F7D"/>
    <w:rsid w:val="000601FC"/>
    <w:rsid w:val="00060442"/>
    <w:rsid w:val="0006177B"/>
    <w:rsid w:val="000626C5"/>
    <w:rsid w:val="00062C8F"/>
    <w:rsid w:val="00063209"/>
    <w:rsid w:val="00070989"/>
    <w:rsid w:val="00071A8E"/>
    <w:rsid w:val="00071DD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A1890"/>
    <w:rsid w:val="000A4DFA"/>
    <w:rsid w:val="000A5E76"/>
    <w:rsid w:val="000A7CAE"/>
    <w:rsid w:val="000B2210"/>
    <w:rsid w:val="000B41D4"/>
    <w:rsid w:val="000B4665"/>
    <w:rsid w:val="000B6242"/>
    <w:rsid w:val="000C39FA"/>
    <w:rsid w:val="000C43D8"/>
    <w:rsid w:val="000C5999"/>
    <w:rsid w:val="000C77EF"/>
    <w:rsid w:val="000C79F2"/>
    <w:rsid w:val="000D0B43"/>
    <w:rsid w:val="000D3669"/>
    <w:rsid w:val="000D704C"/>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44DC"/>
    <w:rsid w:val="00135593"/>
    <w:rsid w:val="001407C0"/>
    <w:rsid w:val="00140C94"/>
    <w:rsid w:val="001512CF"/>
    <w:rsid w:val="0015413F"/>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A04DE"/>
    <w:rsid w:val="001A14AD"/>
    <w:rsid w:val="001A488C"/>
    <w:rsid w:val="001A64A1"/>
    <w:rsid w:val="001A762A"/>
    <w:rsid w:val="001B1791"/>
    <w:rsid w:val="001B38DA"/>
    <w:rsid w:val="001B3A79"/>
    <w:rsid w:val="001B6CB1"/>
    <w:rsid w:val="001C241A"/>
    <w:rsid w:val="001C3DCA"/>
    <w:rsid w:val="001C7A31"/>
    <w:rsid w:val="001C7F11"/>
    <w:rsid w:val="001D207D"/>
    <w:rsid w:val="001D521C"/>
    <w:rsid w:val="001E27C7"/>
    <w:rsid w:val="001E3960"/>
    <w:rsid w:val="001F0836"/>
    <w:rsid w:val="001F3AB8"/>
    <w:rsid w:val="001F5154"/>
    <w:rsid w:val="00200A4A"/>
    <w:rsid w:val="0020180D"/>
    <w:rsid w:val="00202B4E"/>
    <w:rsid w:val="00202D86"/>
    <w:rsid w:val="00203AFA"/>
    <w:rsid w:val="002066CC"/>
    <w:rsid w:val="00207A60"/>
    <w:rsid w:val="002102B3"/>
    <w:rsid w:val="00211923"/>
    <w:rsid w:val="00212D47"/>
    <w:rsid w:val="002148B5"/>
    <w:rsid w:val="002215B7"/>
    <w:rsid w:val="00223349"/>
    <w:rsid w:val="00224E75"/>
    <w:rsid w:val="002263D7"/>
    <w:rsid w:val="00226F85"/>
    <w:rsid w:val="002374EC"/>
    <w:rsid w:val="0024201E"/>
    <w:rsid w:val="002426C3"/>
    <w:rsid w:val="00243314"/>
    <w:rsid w:val="00246E69"/>
    <w:rsid w:val="002477AE"/>
    <w:rsid w:val="00247ECF"/>
    <w:rsid w:val="00251868"/>
    <w:rsid w:val="00252375"/>
    <w:rsid w:val="00255718"/>
    <w:rsid w:val="00256C0B"/>
    <w:rsid w:val="00262338"/>
    <w:rsid w:val="00262399"/>
    <w:rsid w:val="002624AE"/>
    <w:rsid w:val="002629EF"/>
    <w:rsid w:val="002646E2"/>
    <w:rsid w:val="002666F2"/>
    <w:rsid w:val="00267AD9"/>
    <w:rsid w:val="00267B4D"/>
    <w:rsid w:val="0027003D"/>
    <w:rsid w:val="00283CFF"/>
    <w:rsid w:val="002840D6"/>
    <w:rsid w:val="0028485A"/>
    <w:rsid w:val="00297F4B"/>
    <w:rsid w:val="002A0BB1"/>
    <w:rsid w:val="002A0CBE"/>
    <w:rsid w:val="002A1958"/>
    <w:rsid w:val="002A48E6"/>
    <w:rsid w:val="002A604C"/>
    <w:rsid w:val="002B23C1"/>
    <w:rsid w:val="002B2505"/>
    <w:rsid w:val="002B7137"/>
    <w:rsid w:val="002B73B2"/>
    <w:rsid w:val="002B7744"/>
    <w:rsid w:val="002B7FC3"/>
    <w:rsid w:val="002C1A03"/>
    <w:rsid w:val="002C3930"/>
    <w:rsid w:val="002C4B6C"/>
    <w:rsid w:val="002C4FFF"/>
    <w:rsid w:val="002C6E7B"/>
    <w:rsid w:val="002C76F8"/>
    <w:rsid w:val="002D1C21"/>
    <w:rsid w:val="002D2B3C"/>
    <w:rsid w:val="002D3CD9"/>
    <w:rsid w:val="002D3EDC"/>
    <w:rsid w:val="002E6154"/>
    <w:rsid w:val="002F38CF"/>
    <w:rsid w:val="002F6A89"/>
    <w:rsid w:val="002F7A06"/>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62CF"/>
    <w:rsid w:val="00357FBB"/>
    <w:rsid w:val="00362A7E"/>
    <w:rsid w:val="0036400A"/>
    <w:rsid w:val="003643AA"/>
    <w:rsid w:val="0036462B"/>
    <w:rsid w:val="0036582B"/>
    <w:rsid w:val="00365925"/>
    <w:rsid w:val="00367BCE"/>
    <w:rsid w:val="00370D9B"/>
    <w:rsid w:val="0037127F"/>
    <w:rsid w:val="00377B16"/>
    <w:rsid w:val="00382113"/>
    <w:rsid w:val="00384C88"/>
    <w:rsid w:val="00386DF1"/>
    <w:rsid w:val="00393416"/>
    <w:rsid w:val="00393F20"/>
    <w:rsid w:val="00394C88"/>
    <w:rsid w:val="003A03DD"/>
    <w:rsid w:val="003A048A"/>
    <w:rsid w:val="003A0F39"/>
    <w:rsid w:val="003A1217"/>
    <w:rsid w:val="003A4695"/>
    <w:rsid w:val="003A5986"/>
    <w:rsid w:val="003B032F"/>
    <w:rsid w:val="003B30B7"/>
    <w:rsid w:val="003B3A50"/>
    <w:rsid w:val="003B61C7"/>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400415"/>
    <w:rsid w:val="00404868"/>
    <w:rsid w:val="00411F03"/>
    <w:rsid w:val="00415D20"/>
    <w:rsid w:val="00416C57"/>
    <w:rsid w:val="004171A4"/>
    <w:rsid w:val="00422C48"/>
    <w:rsid w:val="00425C5E"/>
    <w:rsid w:val="00426967"/>
    <w:rsid w:val="00430F8E"/>
    <w:rsid w:val="00432700"/>
    <w:rsid w:val="004329D1"/>
    <w:rsid w:val="00432B5F"/>
    <w:rsid w:val="0043366A"/>
    <w:rsid w:val="00435443"/>
    <w:rsid w:val="004356BE"/>
    <w:rsid w:val="0044128C"/>
    <w:rsid w:val="0044786C"/>
    <w:rsid w:val="004518E4"/>
    <w:rsid w:val="00455840"/>
    <w:rsid w:val="0045585B"/>
    <w:rsid w:val="00457757"/>
    <w:rsid w:val="004622A1"/>
    <w:rsid w:val="00463645"/>
    <w:rsid w:val="00464D68"/>
    <w:rsid w:val="00471339"/>
    <w:rsid w:val="00473EDB"/>
    <w:rsid w:val="004752A7"/>
    <w:rsid w:val="004765D6"/>
    <w:rsid w:val="00477D59"/>
    <w:rsid w:val="004812BD"/>
    <w:rsid w:val="00482556"/>
    <w:rsid w:val="004848E7"/>
    <w:rsid w:val="004940F1"/>
    <w:rsid w:val="00495FF0"/>
    <w:rsid w:val="00497AC0"/>
    <w:rsid w:val="004A07EB"/>
    <w:rsid w:val="004A1334"/>
    <w:rsid w:val="004A1F71"/>
    <w:rsid w:val="004A3508"/>
    <w:rsid w:val="004A623A"/>
    <w:rsid w:val="004A68C6"/>
    <w:rsid w:val="004B2D64"/>
    <w:rsid w:val="004B48A7"/>
    <w:rsid w:val="004B4E02"/>
    <w:rsid w:val="004B532A"/>
    <w:rsid w:val="004B6D09"/>
    <w:rsid w:val="004C0962"/>
    <w:rsid w:val="004C35B3"/>
    <w:rsid w:val="004C56FE"/>
    <w:rsid w:val="004D065E"/>
    <w:rsid w:val="004D072B"/>
    <w:rsid w:val="004E0A2B"/>
    <w:rsid w:val="004E2DE9"/>
    <w:rsid w:val="004E40B6"/>
    <w:rsid w:val="004E7727"/>
    <w:rsid w:val="004F0AA1"/>
    <w:rsid w:val="004F3A13"/>
    <w:rsid w:val="004F76CE"/>
    <w:rsid w:val="004F7BCC"/>
    <w:rsid w:val="004F7F95"/>
    <w:rsid w:val="00504576"/>
    <w:rsid w:val="0050690A"/>
    <w:rsid w:val="00512602"/>
    <w:rsid w:val="00512C47"/>
    <w:rsid w:val="005205E4"/>
    <w:rsid w:val="00521F52"/>
    <w:rsid w:val="00524B4C"/>
    <w:rsid w:val="00525008"/>
    <w:rsid w:val="00527468"/>
    <w:rsid w:val="00535F72"/>
    <w:rsid w:val="00541C6D"/>
    <w:rsid w:val="00542986"/>
    <w:rsid w:val="00544549"/>
    <w:rsid w:val="005449EA"/>
    <w:rsid w:val="00545A28"/>
    <w:rsid w:val="005462AA"/>
    <w:rsid w:val="00547F5F"/>
    <w:rsid w:val="00551C03"/>
    <w:rsid w:val="0055278B"/>
    <w:rsid w:val="005537F3"/>
    <w:rsid w:val="005538E5"/>
    <w:rsid w:val="005548FA"/>
    <w:rsid w:val="0055562E"/>
    <w:rsid w:val="00557DFF"/>
    <w:rsid w:val="00565F2E"/>
    <w:rsid w:val="005675D2"/>
    <w:rsid w:val="00570DDD"/>
    <w:rsid w:val="005731EA"/>
    <w:rsid w:val="0058262E"/>
    <w:rsid w:val="0058291A"/>
    <w:rsid w:val="0058625A"/>
    <w:rsid w:val="005939F5"/>
    <w:rsid w:val="0059400D"/>
    <w:rsid w:val="00597FD2"/>
    <w:rsid w:val="005A1543"/>
    <w:rsid w:val="005A2815"/>
    <w:rsid w:val="005A45AA"/>
    <w:rsid w:val="005B1BDE"/>
    <w:rsid w:val="005B345B"/>
    <w:rsid w:val="005B5CE3"/>
    <w:rsid w:val="005B7AB9"/>
    <w:rsid w:val="005C0E8B"/>
    <w:rsid w:val="005C421F"/>
    <w:rsid w:val="005C5409"/>
    <w:rsid w:val="005C7E3B"/>
    <w:rsid w:val="005D25A6"/>
    <w:rsid w:val="005D533A"/>
    <w:rsid w:val="005D58BF"/>
    <w:rsid w:val="005D67F6"/>
    <w:rsid w:val="005D7BEF"/>
    <w:rsid w:val="005E01EF"/>
    <w:rsid w:val="005E15DD"/>
    <w:rsid w:val="005E2A91"/>
    <w:rsid w:val="005E2E7B"/>
    <w:rsid w:val="005F1934"/>
    <w:rsid w:val="005F2CF5"/>
    <w:rsid w:val="005F4846"/>
    <w:rsid w:val="005F4946"/>
    <w:rsid w:val="005F5068"/>
    <w:rsid w:val="0060229C"/>
    <w:rsid w:val="00602B6F"/>
    <w:rsid w:val="006030B3"/>
    <w:rsid w:val="00605BB4"/>
    <w:rsid w:val="00614445"/>
    <w:rsid w:val="006153BB"/>
    <w:rsid w:val="00615FE6"/>
    <w:rsid w:val="00617CBE"/>
    <w:rsid w:val="00620D2E"/>
    <w:rsid w:val="006237C5"/>
    <w:rsid w:val="006254DA"/>
    <w:rsid w:val="00626C69"/>
    <w:rsid w:val="006314FC"/>
    <w:rsid w:val="00632A41"/>
    <w:rsid w:val="0063445E"/>
    <w:rsid w:val="00636326"/>
    <w:rsid w:val="00636549"/>
    <w:rsid w:val="00637276"/>
    <w:rsid w:val="00640A37"/>
    <w:rsid w:val="00640B98"/>
    <w:rsid w:val="00642983"/>
    <w:rsid w:val="00645D50"/>
    <w:rsid w:val="00646C71"/>
    <w:rsid w:val="006522D3"/>
    <w:rsid w:val="006538E0"/>
    <w:rsid w:val="006579C5"/>
    <w:rsid w:val="0066123D"/>
    <w:rsid w:val="00661BB8"/>
    <w:rsid w:val="006624AC"/>
    <w:rsid w:val="0066463A"/>
    <w:rsid w:val="006657A7"/>
    <w:rsid w:val="00665CC1"/>
    <w:rsid w:val="00666851"/>
    <w:rsid w:val="0067021D"/>
    <w:rsid w:val="00673C79"/>
    <w:rsid w:val="0067602F"/>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B4286"/>
    <w:rsid w:val="006B4503"/>
    <w:rsid w:val="006C1AD2"/>
    <w:rsid w:val="006C1B4A"/>
    <w:rsid w:val="006C3510"/>
    <w:rsid w:val="006C357F"/>
    <w:rsid w:val="006C423D"/>
    <w:rsid w:val="006C45AC"/>
    <w:rsid w:val="006D05BE"/>
    <w:rsid w:val="006D2FC5"/>
    <w:rsid w:val="006D4884"/>
    <w:rsid w:val="006E44CF"/>
    <w:rsid w:val="006E4779"/>
    <w:rsid w:val="006E50A8"/>
    <w:rsid w:val="006E5C3B"/>
    <w:rsid w:val="006E7492"/>
    <w:rsid w:val="006E7DE4"/>
    <w:rsid w:val="006F1566"/>
    <w:rsid w:val="006F2FFB"/>
    <w:rsid w:val="006F3FE7"/>
    <w:rsid w:val="006F6571"/>
    <w:rsid w:val="0071208E"/>
    <w:rsid w:val="007250CC"/>
    <w:rsid w:val="00725650"/>
    <w:rsid w:val="00726F3A"/>
    <w:rsid w:val="00727749"/>
    <w:rsid w:val="00727F26"/>
    <w:rsid w:val="00731504"/>
    <w:rsid w:val="007328A5"/>
    <w:rsid w:val="00732E5D"/>
    <w:rsid w:val="007346EB"/>
    <w:rsid w:val="00735A04"/>
    <w:rsid w:val="0074017C"/>
    <w:rsid w:val="00741A2F"/>
    <w:rsid w:val="00742F6A"/>
    <w:rsid w:val="00752127"/>
    <w:rsid w:val="007535C3"/>
    <w:rsid w:val="007608BA"/>
    <w:rsid w:val="0076232D"/>
    <w:rsid w:val="007648E7"/>
    <w:rsid w:val="00767D8E"/>
    <w:rsid w:val="00772085"/>
    <w:rsid w:val="0077525B"/>
    <w:rsid w:val="00776C42"/>
    <w:rsid w:val="007812DA"/>
    <w:rsid w:val="00785516"/>
    <w:rsid w:val="0078579F"/>
    <w:rsid w:val="007903E8"/>
    <w:rsid w:val="0079345B"/>
    <w:rsid w:val="007934DA"/>
    <w:rsid w:val="0079785B"/>
    <w:rsid w:val="007A0C54"/>
    <w:rsid w:val="007A1CAD"/>
    <w:rsid w:val="007A334A"/>
    <w:rsid w:val="007A4992"/>
    <w:rsid w:val="007A7055"/>
    <w:rsid w:val="007B180A"/>
    <w:rsid w:val="007B5DBF"/>
    <w:rsid w:val="007B67F4"/>
    <w:rsid w:val="007C0F83"/>
    <w:rsid w:val="007C5FE7"/>
    <w:rsid w:val="007C6037"/>
    <w:rsid w:val="007C7311"/>
    <w:rsid w:val="007D00C4"/>
    <w:rsid w:val="007D0F98"/>
    <w:rsid w:val="007D1A5D"/>
    <w:rsid w:val="007D22FA"/>
    <w:rsid w:val="007D757B"/>
    <w:rsid w:val="007E2A1C"/>
    <w:rsid w:val="007E39EB"/>
    <w:rsid w:val="007E4C17"/>
    <w:rsid w:val="007E7977"/>
    <w:rsid w:val="007F2BD7"/>
    <w:rsid w:val="00806EFC"/>
    <w:rsid w:val="00810AEF"/>
    <w:rsid w:val="0081514B"/>
    <w:rsid w:val="008202AD"/>
    <w:rsid w:val="008261CA"/>
    <w:rsid w:val="00833A91"/>
    <w:rsid w:val="00836C7A"/>
    <w:rsid w:val="00836D23"/>
    <w:rsid w:val="00837409"/>
    <w:rsid w:val="00837D04"/>
    <w:rsid w:val="00840689"/>
    <w:rsid w:val="00845363"/>
    <w:rsid w:val="00853A10"/>
    <w:rsid w:val="008550A7"/>
    <w:rsid w:val="008572DB"/>
    <w:rsid w:val="0086228C"/>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B1E4D"/>
    <w:rsid w:val="008B44EC"/>
    <w:rsid w:val="008B5785"/>
    <w:rsid w:val="008B618D"/>
    <w:rsid w:val="008C09DC"/>
    <w:rsid w:val="008C0DBC"/>
    <w:rsid w:val="008C18FA"/>
    <w:rsid w:val="008C1D23"/>
    <w:rsid w:val="008C1F5B"/>
    <w:rsid w:val="008C53FF"/>
    <w:rsid w:val="008C694D"/>
    <w:rsid w:val="008C723E"/>
    <w:rsid w:val="008D2298"/>
    <w:rsid w:val="008D3D4A"/>
    <w:rsid w:val="008D5DB1"/>
    <w:rsid w:val="008E0114"/>
    <w:rsid w:val="008E1633"/>
    <w:rsid w:val="008E1A9E"/>
    <w:rsid w:val="008E61B3"/>
    <w:rsid w:val="008E63CB"/>
    <w:rsid w:val="008F086D"/>
    <w:rsid w:val="008F7134"/>
    <w:rsid w:val="009006D3"/>
    <w:rsid w:val="009039D9"/>
    <w:rsid w:val="00903AB3"/>
    <w:rsid w:val="00904615"/>
    <w:rsid w:val="00910645"/>
    <w:rsid w:val="009124E5"/>
    <w:rsid w:val="0091425C"/>
    <w:rsid w:val="0091548D"/>
    <w:rsid w:val="00916609"/>
    <w:rsid w:val="00916DCA"/>
    <w:rsid w:val="00924C53"/>
    <w:rsid w:val="00926046"/>
    <w:rsid w:val="00933C8E"/>
    <w:rsid w:val="00934141"/>
    <w:rsid w:val="00935E1F"/>
    <w:rsid w:val="009367F5"/>
    <w:rsid w:val="009378A8"/>
    <w:rsid w:val="00947D49"/>
    <w:rsid w:val="00952458"/>
    <w:rsid w:val="00953B10"/>
    <w:rsid w:val="00957870"/>
    <w:rsid w:val="00962B8E"/>
    <w:rsid w:val="0096645D"/>
    <w:rsid w:val="00971A12"/>
    <w:rsid w:val="00971D22"/>
    <w:rsid w:val="00974B48"/>
    <w:rsid w:val="0097572F"/>
    <w:rsid w:val="00977142"/>
    <w:rsid w:val="0097770A"/>
    <w:rsid w:val="00980C54"/>
    <w:rsid w:val="00981BE7"/>
    <w:rsid w:val="0098700D"/>
    <w:rsid w:val="00991BDC"/>
    <w:rsid w:val="009922DE"/>
    <w:rsid w:val="0099242B"/>
    <w:rsid w:val="00992622"/>
    <w:rsid w:val="00993777"/>
    <w:rsid w:val="00997535"/>
    <w:rsid w:val="009A6521"/>
    <w:rsid w:val="009A7A43"/>
    <w:rsid w:val="009B0D6B"/>
    <w:rsid w:val="009B2EC9"/>
    <w:rsid w:val="009B4423"/>
    <w:rsid w:val="009B4EB5"/>
    <w:rsid w:val="009C3EC3"/>
    <w:rsid w:val="009C6B56"/>
    <w:rsid w:val="009C7F0F"/>
    <w:rsid w:val="009D20F6"/>
    <w:rsid w:val="009D4E4A"/>
    <w:rsid w:val="009D58DD"/>
    <w:rsid w:val="009E37CC"/>
    <w:rsid w:val="009E4CF6"/>
    <w:rsid w:val="009E6419"/>
    <w:rsid w:val="009E786E"/>
    <w:rsid w:val="009F11FB"/>
    <w:rsid w:val="009F74C4"/>
    <w:rsid w:val="00A024CC"/>
    <w:rsid w:val="00A03AF6"/>
    <w:rsid w:val="00A05ED7"/>
    <w:rsid w:val="00A06761"/>
    <w:rsid w:val="00A10178"/>
    <w:rsid w:val="00A12E04"/>
    <w:rsid w:val="00A13AA5"/>
    <w:rsid w:val="00A15525"/>
    <w:rsid w:val="00A1594B"/>
    <w:rsid w:val="00A161FF"/>
    <w:rsid w:val="00A17612"/>
    <w:rsid w:val="00A222D6"/>
    <w:rsid w:val="00A22AA7"/>
    <w:rsid w:val="00A249C3"/>
    <w:rsid w:val="00A26A3B"/>
    <w:rsid w:val="00A3285F"/>
    <w:rsid w:val="00A32AA6"/>
    <w:rsid w:val="00A3675B"/>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315F"/>
    <w:rsid w:val="00A736F6"/>
    <w:rsid w:val="00A74F83"/>
    <w:rsid w:val="00A75F4C"/>
    <w:rsid w:val="00A775CE"/>
    <w:rsid w:val="00A80A2C"/>
    <w:rsid w:val="00A81F1D"/>
    <w:rsid w:val="00A820C9"/>
    <w:rsid w:val="00A8302C"/>
    <w:rsid w:val="00A83170"/>
    <w:rsid w:val="00A85D90"/>
    <w:rsid w:val="00A87292"/>
    <w:rsid w:val="00A92C1D"/>
    <w:rsid w:val="00A93263"/>
    <w:rsid w:val="00A94187"/>
    <w:rsid w:val="00A974E6"/>
    <w:rsid w:val="00A9798E"/>
    <w:rsid w:val="00A97ECA"/>
    <w:rsid w:val="00AA0514"/>
    <w:rsid w:val="00AA28FC"/>
    <w:rsid w:val="00AA336A"/>
    <w:rsid w:val="00AA4615"/>
    <w:rsid w:val="00AA6EB1"/>
    <w:rsid w:val="00AB03A5"/>
    <w:rsid w:val="00AB0726"/>
    <w:rsid w:val="00AB0FDB"/>
    <w:rsid w:val="00AB1225"/>
    <w:rsid w:val="00AB1F16"/>
    <w:rsid w:val="00AB40C3"/>
    <w:rsid w:val="00AB5D63"/>
    <w:rsid w:val="00AB5E5B"/>
    <w:rsid w:val="00AB6768"/>
    <w:rsid w:val="00AC3205"/>
    <w:rsid w:val="00AD058E"/>
    <w:rsid w:val="00AD1C1D"/>
    <w:rsid w:val="00AD3DB7"/>
    <w:rsid w:val="00AD4D5B"/>
    <w:rsid w:val="00AD7194"/>
    <w:rsid w:val="00AE5A7A"/>
    <w:rsid w:val="00AE5A8E"/>
    <w:rsid w:val="00AF4A53"/>
    <w:rsid w:val="00AF6333"/>
    <w:rsid w:val="00AF7148"/>
    <w:rsid w:val="00B0225B"/>
    <w:rsid w:val="00B03B2B"/>
    <w:rsid w:val="00B07460"/>
    <w:rsid w:val="00B103C2"/>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BCA"/>
    <w:rsid w:val="00B60083"/>
    <w:rsid w:val="00B60235"/>
    <w:rsid w:val="00B608AC"/>
    <w:rsid w:val="00B60B00"/>
    <w:rsid w:val="00B6567D"/>
    <w:rsid w:val="00B67684"/>
    <w:rsid w:val="00B70608"/>
    <w:rsid w:val="00B77F05"/>
    <w:rsid w:val="00B80A60"/>
    <w:rsid w:val="00B83DE4"/>
    <w:rsid w:val="00B85649"/>
    <w:rsid w:val="00B90038"/>
    <w:rsid w:val="00B9066D"/>
    <w:rsid w:val="00B90CB9"/>
    <w:rsid w:val="00B917A2"/>
    <w:rsid w:val="00B91A58"/>
    <w:rsid w:val="00B9294A"/>
    <w:rsid w:val="00B92FEE"/>
    <w:rsid w:val="00B9361C"/>
    <w:rsid w:val="00B941C8"/>
    <w:rsid w:val="00B961CC"/>
    <w:rsid w:val="00B974B4"/>
    <w:rsid w:val="00BA1F8B"/>
    <w:rsid w:val="00BA48CF"/>
    <w:rsid w:val="00BA4C89"/>
    <w:rsid w:val="00BA5879"/>
    <w:rsid w:val="00BA7EDD"/>
    <w:rsid w:val="00BA7F91"/>
    <w:rsid w:val="00BB2111"/>
    <w:rsid w:val="00BC301C"/>
    <w:rsid w:val="00BC6CC7"/>
    <w:rsid w:val="00BC756F"/>
    <w:rsid w:val="00BD0104"/>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D5"/>
    <w:rsid w:val="00BF3321"/>
    <w:rsid w:val="00BF6B76"/>
    <w:rsid w:val="00C00C63"/>
    <w:rsid w:val="00C01278"/>
    <w:rsid w:val="00C02E27"/>
    <w:rsid w:val="00C045AF"/>
    <w:rsid w:val="00C10CE6"/>
    <w:rsid w:val="00C12966"/>
    <w:rsid w:val="00C14432"/>
    <w:rsid w:val="00C16739"/>
    <w:rsid w:val="00C16A0D"/>
    <w:rsid w:val="00C1793D"/>
    <w:rsid w:val="00C22C76"/>
    <w:rsid w:val="00C2619A"/>
    <w:rsid w:val="00C26707"/>
    <w:rsid w:val="00C2757B"/>
    <w:rsid w:val="00C30958"/>
    <w:rsid w:val="00C3394B"/>
    <w:rsid w:val="00C34141"/>
    <w:rsid w:val="00C41B57"/>
    <w:rsid w:val="00C42F81"/>
    <w:rsid w:val="00C43D2B"/>
    <w:rsid w:val="00C44AC9"/>
    <w:rsid w:val="00C5077E"/>
    <w:rsid w:val="00C518BF"/>
    <w:rsid w:val="00C539F9"/>
    <w:rsid w:val="00C57E18"/>
    <w:rsid w:val="00C6196E"/>
    <w:rsid w:val="00C61B5B"/>
    <w:rsid w:val="00C641E2"/>
    <w:rsid w:val="00C65599"/>
    <w:rsid w:val="00C67C1F"/>
    <w:rsid w:val="00C711AB"/>
    <w:rsid w:val="00C742FE"/>
    <w:rsid w:val="00C76D9B"/>
    <w:rsid w:val="00C825E3"/>
    <w:rsid w:val="00C83D3B"/>
    <w:rsid w:val="00C851EF"/>
    <w:rsid w:val="00C85D32"/>
    <w:rsid w:val="00C92F76"/>
    <w:rsid w:val="00C93192"/>
    <w:rsid w:val="00C93C85"/>
    <w:rsid w:val="00CA1F88"/>
    <w:rsid w:val="00CA642A"/>
    <w:rsid w:val="00CB2110"/>
    <w:rsid w:val="00CB286C"/>
    <w:rsid w:val="00CB29EE"/>
    <w:rsid w:val="00CB571A"/>
    <w:rsid w:val="00CB5ACE"/>
    <w:rsid w:val="00CC3DFB"/>
    <w:rsid w:val="00CC4075"/>
    <w:rsid w:val="00CD0148"/>
    <w:rsid w:val="00CD0686"/>
    <w:rsid w:val="00CD39F3"/>
    <w:rsid w:val="00CD55B6"/>
    <w:rsid w:val="00CD6B02"/>
    <w:rsid w:val="00CE0BE5"/>
    <w:rsid w:val="00CE18DC"/>
    <w:rsid w:val="00CE3EC7"/>
    <w:rsid w:val="00CE4997"/>
    <w:rsid w:val="00CE5BF7"/>
    <w:rsid w:val="00CE667A"/>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3376"/>
    <w:rsid w:val="00D2777F"/>
    <w:rsid w:val="00D3080D"/>
    <w:rsid w:val="00D34B1B"/>
    <w:rsid w:val="00D43042"/>
    <w:rsid w:val="00D43CA9"/>
    <w:rsid w:val="00D447CB"/>
    <w:rsid w:val="00D459E9"/>
    <w:rsid w:val="00D45D54"/>
    <w:rsid w:val="00D460C5"/>
    <w:rsid w:val="00D5040D"/>
    <w:rsid w:val="00D51420"/>
    <w:rsid w:val="00D5746C"/>
    <w:rsid w:val="00D57745"/>
    <w:rsid w:val="00D645D1"/>
    <w:rsid w:val="00D649BF"/>
    <w:rsid w:val="00D67231"/>
    <w:rsid w:val="00D67EF6"/>
    <w:rsid w:val="00D72103"/>
    <w:rsid w:val="00D7222D"/>
    <w:rsid w:val="00D746F4"/>
    <w:rsid w:val="00D75431"/>
    <w:rsid w:val="00D7590D"/>
    <w:rsid w:val="00D806C5"/>
    <w:rsid w:val="00D856A0"/>
    <w:rsid w:val="00D90902"/>
    <w:rsid w:val="00D92CA4"/>
    <w:rsid w:val="00D95A61"/>
    <w:rsid w:val="00D97864"/>
    <w:rsid w:val="00DA06CF"/>
    <w:rsid w:val="00DA421C"/>
    <w:rsid w:val="00DB067E"/>
    <w:rsid w:val="00DB2CB9"/>
    <w:rsid w:val="00DB4758"/>
    <w:rsid w:val="00DB73AA"/>
    <w:rsid w:val="00DB7651"/>
    <w:rsid w:val="00DC19CF"/>
    <w:rsid w:val="00DC26F2"/>
    <w:rsid w:val="00DC750C"/>
    <w:rsid w:val="00DC7A32"/>
    <w:rsid w:val="00DD0EC4"/>
    <w:rsid w:val="00DD10BF"/>
    <w:rsid w:val="00DD3DBD"/>
    <w:rsid w:val="00DD5086"/>
    <w:rsid w:val="00DD7767"/>
    <w:rsid w:val="00DD7EA6"/>
    <w:rsid w:val="00DE011A"/>
    <w:rsid w:val="00DE0B9C"/>
    <w:rsid w:val="00DE4A5A"/>
    <w:rsid w:val="00DE5AB9"/>
    <w:rsid w:val="00DF07F4"/>
    <w:rsid w:val="00DF1EA2"/>
    <w:rsid w:val="00DF7C0C"/>
    <w:rsid w:val="00E00CA0"/>
    <w:rsid w:val="00E024F6"/>
    <w:rsid w:val="00E03075"/>
    <w:rsid w:val="00E06F36"/>
    <w:rsid w:val="00E11779"/>
    <w:rsid w:val="00E12E10"/>
    <w:rsid w:val="00E14021"/>
    <w:rsid w:val="00E147E0"/>
    <w:rsid w:val="00E15431"/>
    <w:rsid w:val="00E21EAD"/>
    <w:rsid w:val="00E23861"/>
    <w:rsid w:val="00E274A1"/>
    <w:rsid w:val="00E30B48"/>
    <w:rsid w:val="00E32868"/>
    <w:rsid w:val="00E35427"/>
    <w:rsid w:val="00E366EF"/>
    <w:rsid w:val="00E57CF3"/>
    <w:rsid w:val="00E60CC8"/>
    <w:rsid w:val="00E61886"/>
    <w:rsid w:val="00E70CA3"/>
    <w:rsid w:val="00E73131"/>
    <w:rsid w:val="00E74F52"/>
    <w:rsid w:val="00E7526A"/>
    <w:rsid w:val="00E7674E"/>
    <w:rsid w:val="00E860DC"/>
    <w:rsid w:val="00E86696"/>
    <w:rsid w:val="00E8687A"/>
    <w:rsid w:val="00E86CB7"/>
    <w:rsid w:val="00E9016B"/>
    <w:rsid w:val="00E90F2D"/>
    <w:rsid w:val="00E9226C"/>
    <w:rsid w:val="00E932DD"/>
    <w:rsid w:val="00E9518B"/>
    <w:rsid w:val="00E9550A"/>
    <w:rsid w:val="00E95C9D"/>
    <w:rsid w:val="00EA00D1"/>
    <w:rsid w:val="00EA38D0"/>
    <w:rsid w:val="00EA72BC"/>
    <w:rsid w:val="00EA7962"/>
    <w:rsid w:val="00EB1D9E"/>
    <w:rsid w:val="00EB1FDE"/>
    <w:rsid w:val="00EB2135"/>
    <w:rsid w:val="00EB34DD"/>
    <w:rsid w:val="00EC1ADB"/>
    <w:rsid w:val="00EC2C82"/>
    <w:rsid w:val="00ED244C"/>
    <w:rsid w:val="00EE38FA"/>
    <w:rsid w:val="00EE699C"/>
    <w:rsid w:val="00EE7F4D"/>
    <w:rsid w:val="00EF226A"/>
    <w:rsid w:val="00EF3E9E"/>
    <w:rsid w:val="00EF502C"/>
    <w:rsid w:val="00EF5B66"/>
    <w:rsid w:val="00F04AE2"/>
    <w:rsid w:val="00F1471B"/>
    <w:rsid w:val="00F16117"/>
    <w:rsid w:val="00F16358"/>
    <w:rsid w:val="00F20160"/>
    <w:rsid w:val="00F20413"/>
    <w:rsid w:val="00F21416"/>
    <w:rsid w:val="00F21967"/>
    <w:rsid w:val="00F2397B"/>
    <w:rsid w:val="00F23DBA"/>
    <w:rsid w:val="00F34F5E"/>
    <w:rsid w:val="00F40405"/>
    <w:rsid w:val="00F40C65"/>
    <w:rsid w:val="00F42A78"/>
    <w:rsid w:val="00F42B0D"/>
    <w:rsid w:val="00F4579C"/>
    <w:rsid w:val="00F47047"/>
    <w:rsid w:val="00F47192"/>
    <w:rsid w:val="00F47D2D"/>
    <w:rsid w:val="00F5322D"/>
    <w:rsid w:val="00F542EB"/>
    <w:rsid w:val="00F57B39"/>
    <w:rsid w:val="00F614DB"/>
    <w:rsid w:val="00F644F8"/>
    <w:rsid w:val="00F711C9"/>
    <w:rsid w:val="00F757EC"/>
    <w:rsid w:val="00F8023F"/>
    <w:rsid w:val="00F81FC4"/>
    <w:rsid w:val="00F85EB2"/>
    <w:rsid w:val="00F861EF"/>
    <w:rsid w:val="00F86EBE"/>
    <w:rsid w:val="00F90FAD"/>
    <w:rsid w:val="00F923D0"/>
    <w:rsid w:val="00F952C7"/>
    <w:rsid w:val="00F96322"/>
    <w:rsid w:val="00FA07DB"/>
    <w:rsid w:val="00FA2519"/>
    <w:rsid w:val="00FA32A9"/>
    <w:rsid w:val="00FA7C51"/>
    <w:rsid w:val="00FB0002"/>
    <w:rsid w:val="00FB046C"/>
    <w:rsid w:val="00FB2430"/>
    <w:rsid w:val="00FB4892"/>
    <w:rsid w:val="00FB5DE0"/>
    <w:rsid w:val="00FB5F4B"/>
    <w:rsid w:val="00FB76D0"/>
    <w:rsid w:val="00FC280C"/>
    <w:rsid w:val="00FC35F3"/>
    <w:rsid w:val="00FC503E"/>
    <w:rsid w:val="00FC6F71"/>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styleId="Hipercze">
    <w:name w:val="Hyperlink"/>
    <w:basedOn w:val="Domylnaczcionkaakapitu"/>
    <w:uiPriority w:val="99"/>
    <w:semiHidden/>
    <w:unhideWhenUsed/>
    <w:rsid w:val="00953B10"/>
    <w:rPr>
      <w:color w:val="0563C1" w:themeColor="hyperlink"/>
      <w:u w:val="single"/>
    </w:rPr>
  </w:style>
  <w:style w:type="table" w:styleId="Tabela-Siatka">
    <w:name w:val="Table Grid"/>
    <w:basedOn w:val="Standardowy"/>
    <w:uiPriority w:val="39"/>
    <w:rsid w:val="00953B10"/>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went.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Props1.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2.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4.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1773</Words>
  <Characters>10875</Characters>
  <Application>Microsoft Office Word</Application>
  <DocSecurity>0</DocSecurity>
  <Lines>157</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5</cp:revision>
  <cp:lastPrinted>2023-06-19T12:47:00Z</cp:lastPrinted>
  <dcterms:created xsi:type="dcterms:W3CDTF">2024-03-17T11:06:00Z</dcterms:created>
  <dcterms:modified xsi:type="dcterms:W3CDTF">2024-03-28T18:31:00Z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