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65805A0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FB2430">
        <w:rPr>
          <w:rFonts w:ascii="Times New Roman" w:hAnsi="Times New Roman"/>
          <w:sz w:val="20"/>
        </w:rPr>
        <w:t xml:space="preserve"> </w:t>
      </w:r>
      <w:r w:rsidR="003A0F39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3A0F39">
        <w:rPr>
          <w:rFonts w:ascii="Times New Roman" w:hAnsi="Times New Roman"/>
          <w:sz w:val="20"/>
        </w:rPr>
        <w:t xml:space="preserve">15 </w:t>
      </w:r>
      <w:r w:rsidR="00C92F76">
        <w:rPr>
          <w:rFonts w:ascii="Times New Roman" w:hAnsi="Times New Roman"/>
          <w:sz w:val="20"/>
        </w:rPr>
        <w:t>października</w:t>
      </w:r>
    </w:p>
    <w:p w14:paraId="0A0E21B7" w14:textId="5959B07B" w:rsidR="00D2777F" w:rsidRPr="00D2777F" w:rsidRDefault="003A0F39" w:rsidP="00E7313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ZROZUMIENIE NATURY CZŁOWIEKA</w:t>
      </w:r>
    </w:p>
    <w:p w14:paraId="086BB7DE" w14:textId="77777777" w:rsidR="00FB2430" w:rsidRDefault="00FB2430" w:rsidP="00FB2430">
      <w:pPr>
        <w:rPr>
          <w:rFonts w:ascii="Times New Roman" w:hAnsi="Times New Roman"/>
          <w:b/>
          <w:bCs/>
          <w:sz w:val="20"/>
        </w:rPr>
      </w:pPr>
    </w:p>
    <w:p w14:paraId="2A69AA19" w14:textId="77777777" w:rsidR="00252375" w:rsidRPr="00AE0ED3" w:rsidRDefault="00252375" w:rsidP="00252375">
      <w:pPr>
        <w:rPr>
          <w:rFonts w:ascii="Times New Roman" w:hAnsi="Times New Roman"/>
          <w:sz w:val="20"/>
        </w:rPr>
      </w:pPr>
    </w:p>
    <w:p w14:paraId="60D4360C" w14:textId="77777777" w:rsidR="003A0F39" w:rsidRPr="00AE0ED3" w:rsidRDefault="003A0F39" w:rsidP="003A0F39">
      <w:pPr>
        <w:rPr>
          <w:rFonts w:ascii="Times New Roman" w:hAnsi="Times New Roman"/>
          <w:iCs/>
          <w:sz w:val="20"/>
        </w:rPr>
      </w:pPr>
      <w:r w:rsidRPr="00AE0ED3">
        <w:rPr>
          <w:rFonts w:ascii="Times New Roman" w:hAnsi="Times New Roman"/>
          <w:b/>
          <w:bCs/>
          <w:sz w:val="20"/>
        </w:rPr>
        <w:t>Zakres studium:</w:t>
      </w:r>
      <w:r w:rsidRPr="00AE0ED3">
        <w:rPr>
          <w:rFonts w:ascii="Times New Roman" w:hAnsi="Times New Roman"/>
          <w:sz w:val="20"/>
        </w:rPr>
        <w:t xml:space="preserve"> </w:t>
      </w:r>
      <w:r w:rsidRPr="00AE0ED3">
        <w:rPr>
          <w:rFonts w:ascii="Times New Roman" w:hAnsi="Times New Roman"/>
          <w:iCs/>
          <w:sz w:val="20"/>
        </w:rPr>
        <w:t>Rdz 1,27-28; 2,7; Koh 12,7; 1 Tes 5,23.</w:t>
      </w:r>
    </w:p>
    <w:p w14:paraId="482A629E" w14:textId="77777777" w:rsidR="003A0F39" w:rsidRPr="00AE0ED3" w:rsidRDefault="003A0F39" w:rsidP="003A0F39">
      <w:pPr>
        <w:rPr>
          <w:rFonts w:ascii="Times New Roman" w:hAnsi="Times New Roman"/>
          <w:sz w:val="20"/>
        </w:rPr>
      </w:pPr>
    </w:p>
    <w:p w14:paraId="1D1635B2" w14:textId="77777777" w:rsidR="003A0F39" w:rsidRPr="00AE0ED3" w:rsidRDefault="003A0F39" w:rsidP="003A0F39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b/>
          <w:sz w:val="20"/>
        </w:rPr>
        <w:t>Część I: Przegląd</w:t>
      </w:r>
    </w:p>
    <w:p w14:paraId="7816AF86" w14:textId="77777777" w:rsidR="003A0F39" w:rsidRPr="00AE0ED3" w:rsidRDefault="003A0F39" w:rsidP="003A0F39">
      <w:pPr>
        <w:rPr>
          <w:rFonts w:ascii="Times New Roman" w:hAnsi="Times New Roman"/>
          <w:sz w:val="20"/>
        </w:rPr>
      </w:pPr>
    </w:p>
    <w:p w14:paraId="19589AEC" w14:textId="54B8519F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Bóg stworzył ludzi na swój obraz w koronnym akcie dzieła stworzenia. Fakt ten został podkreślony w</w:t>
      </w:r>
      <w:r>
        <w:rPr>
          <w:rFonts w:ascii="Times New Roman" w:hAnsi="Times New Roman"/>
          <w:bCs/>
          <w:sz w:val="20"/>
        </w:rPr>
        <w:t> </w:t>
      </w:r>
      <w:r w:rsidRPr="00AE0ED3">
        <w:rPr>
          <w:rFonts w:ascii="Times New Roman" w:hAnsi="Times New Roman"/>
          <w:bCs/>
          <w:sz w:val="20"/>
        </w:rPr>
        <w:t xml:space="preserve">poetyckim języku użytym po raz pierwszy w </w:t>
      </w:r>
      <w:r w:rsidRPr="00AE0ED3">
        <w:rPr>
          <w:rFonts w:ascii="Times New Roman" w:hAnsi="Times New Roman"/>
          <w:bCs/>
          <w:i/>
          <w:iCs/>
          <w:sz w:val="20"/>
        </w:rPr>
        <w:t>Biblii</w:t>
      </w:r>
      <w:r w:rsidRPr="00AE0ED3">
        <w:rPr>
          <w:rFonts w:ascii="Times New Roman" w:hAnsi="Times New Roman"/>
          <w:bCs/>
          <w:sz w:val="20"/>
        </w:rPr>
        <w:t>: „</w:t>
      </w:r>
      <w:r w:rsidRPr="00AE0ED3">
        <w:rPr>
          <w:rFonts w:ascii="Times New Roman" w:eastAsiaTheme="minorHAnsi" w:hAnsi="Times New Roman"/>
          <w:color w:val="000000"/>
          <w:sz w:val="20"/>
          <w:lang w:eastAsia="en-US"/>
        </w:rPr>
        <w:t>I stworzył Bóg człowieka na obraz swój. Na obraz Boga stworzył go. Jako mężczyznę i niewiastę stworzył ich</w:t>
      </w:r>
      <w:r w:rsidRPr="00AE0ED3">
        <w:rPr>
          <w:rFonts w:ascii="Times New Roman" w:hAnsi="Times New Roman"/>
          <w:bCs/>
          <w:sz w:val="20"/>
        </w:rPr>
        <w:t xml:space="preserve">” </w:t>
      </w:r>
      <w:r w:rsidRPr="00AE0ED3">
        <w:rPr>
          <w:rFonts w:ascii="Times New Roman" w:hAnsi="Times New Roman"/>
          <w:iCs/>
          <w:sz w:val="20"/>
        </w:rPr>
        <w:t>(Rdz 1,27)</w:t>
      </w:r>
      <w:r w:rsidRPr="00AE0ED3">
        <w:rPr>
          <w:rFonts w:ascii="Times New Roman" w:hAnsi="Times New Roman"/>
          <w:bCs/>
          <w:sz w:val="20"/>
        </w:rPr>
        <w:t>. Biblijna historia stworzenia jednoznacznie uczy, że tak samo mężczyzna, jak i kobieta zostali stworzeni na obraz Boga. Byli równi sobie, choć różni w</w:t>
      </w:r>
      <w:r>
        <w:rPr>
          <w:rFonts w:ascii="Times New Roman" w:hAnsi="Times New Roman"/>
          <w:bCs/>
          <w:sz w:val="20"/>
        </w:rPr>
        <w:t> </w:t>
      </w:r>
      <w:r w:rsidRPr="00AE0ED3">
        <w:rPr>
          <w:rFonts w:ascii="Times New Roman" w:hAnsi="Times New Roman"/>
          <w:bCs/>
          <w:sz w:val="20"/>
        </w:rPr>
        <w:t xml:space="preserve">biologicznych funkcjach, a także stworzeni jako całkowicie zależni od Boga. Choć nie byli nieśmiertelni, gdyż tylko Bóg jest nieśmiertelny </w:t>
      </w:r>
      <w:r w:rsidRPr="00AE0ED3">
        <w:rPr>
          <w:rFonts w:ascii="Times New Roman" w:hAnsi="Times New Roman"/>
          <w:iCs/>
          <w:sz w:val="20"/>
        </w:rPr>
        <w:t>(1 Tm 6,16)</w:t>
      </w:r>
      <w:r w:rsidRPr="00AE0ED3">
        <w:rPr>
          <w:rFonts w:ascii="Times New Roman" w:hAnsi="Times New Roman"/>
          <w:bCs/>
          <w:sz w:val="20"/>
        </w:rPr>
        <w:t>, mogli żyć wiecznie, jeśli trwaliby w więzi ufności i miłości z ich Stwórcą.</w:t>
      </w:r>
    </w:p>
    <w:p w14:paraId="773C114B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Biblijny monizm uczy, że każdy człowiek jest stworzony jako jedność i żadna część człowieka nie istnieje po śmierci. Wyrażenie „</w:t>
      </w:r>
      <w:r w:rsidRPr="00AE0ED3">
        <w:rPr>
          <w:rFonts w:ascii="Times New Roman" w:hAnsi="Times New Roman"/>
          <w:bCs/>
          <w:iCs/>
          <w:sz w:val="20"/>
        </w:rPr>
        <w:t>nieśmiertelna</w:t>
      </w:r>
      <w:r w:rsidRPr="00AE0ED3">
        <w:rPr>
          <w:rFonts w:ascii="Times New Roman" w:hAnsi="Times New Roman"/>
          <w:bCs/>
          <w:i/>
          <w:iCs/>
          <w:sz w:val="20"/>
        </w:rPr>
        <w:t xml:space="preserve"> </w:t>
      </w:r>
      <w:r w:rsidRPr="00AE0ED3">
        <w:rPr>
          <w:rFonts w:ascii="Times New Roman" w:hAnsi="Times New Roman"/>
          <w:bCs/>
          <w:sz w:val="20"/>
        </w:rPr>
        <w:t xml:space="preserve">dusza” oraz pogląd, iż ludzie zostali stworzeni jako naturalnie nieśmiertelni, z nieśmiertelną duszą czy duchem, nie występuje w </w:t>
      </w:r>
      <w:r w:rsidRPr="00AE0ED3">
        <w:rPr>
          <w:rFonts w:ascii="Times New Roman" w:hAnsi="Times New Roman"/>
          <w:bCs/>
          <w:i/>
          <w:iCs/>
          <w:sz w:val="20"/>
        </w:rPr>
        <w:t>Biblii</w:t>
      </w:r>
      <w:r w:rsidRPr="00AE0ED3">
        <w:rPr>
          <w:rFonts w:ascii="Times New Roman" w:hAnsi="Times New Roman"/>
          <w:bCs/>
          <w:sz w:val="20"/>
        </w:rPr>
        <w:t>. Ludzie - czyli istoty żywe, dusze - nie są nieśmiertelni sami z siebie. Jaźń człowieka nie istnieje po śmierci ciała. Kiedy człowiek umiera, jego świadomość całkowicie ustaje. Dla ludzi życie wieczne jest wyłącznie darem Bożym.</w:t>
      </w:r>
    </w:p>
    <w:p w14:paraId="567067FA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</w:p>
    <w:p w14:paraId="3151B3DE" w14:textId="77777777" w:rsidR="003A0F39" w:rsidRPr="00AE0ED3" w:rsidRDefault="003A0F39" w:rsidP="003A0F39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b/>
          <w:sz w:val="20"/>
        </w:rPr>
        <w:t>Część II: Komentarz</w:t>
      </w:r>
    </w:p>
    <w:p w14:paraId="266E2185" w14:textId="77777777" w:rsidR="003A0F39" w:rsidRPr="00AE0ED3" w:rsidRDefault="003A0F39" w:rsidP="003A0F39">
      <w:pPr>
        <w:rPr>
          <w:rFonts w:ascii="Times New Roman" w:hAnsi="Times New Roman"/>
          <w:sz w:val="20"/>
        </w:rPr>
      </w:pPr>
    </w:p>
    <w:p w14:paraId="6A08A4EF" w14:textId="77777777" w:rsidR="003A0F39" w:rsidRPr="00AE0ED3" w:rsidRDefault="003A0F39" w:rsidP="003A0F39">
      <w:pPr>
        <w:rPr>
          <w:rFonts w:ascii="Times New Roman" w:hAnsi="Times New Roman"/>
          <w:b/>
          <w:bCs/>
          <w:sz w:val="20"/>
        </w:rPr>
      </w:pPr>
      <w:r w:rsidRPr="00AE0ED3">
        <w:rPr>
          <w:rFonts w:ascii="Times New Roman" w:hAnsi="Times New Roman"/>
          <w:b/>
          <w:bCs/>
          <w:sz w:val="20"/>
        </w:rPr>
        <w:t>Cudownie stworzeni jako żywe istoty (dusze żyjące)</w:t>
      </w:r>
    </w:p>
    <w:p w14:paraId="70C33673" w14:textId="77777777" w:rsidR="003A0F39" w:rsidRDefault="003A0F39" w:rsidP="003A0F39">
      <w:pPr>
        <w:rPr>
          <w:rFonts w:ascii="Times New Roman" w:hAnsi="Times New Roman"/>
          <w:bCs/>
          <w:sz w:val="20"/>
        </w:rPr>
      </w:pPr>
    </w:p>
    <w:p w14:paraId="68AC58D0" w14:textId="3E201B4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Opis stworzenia jasno świadczy, że ludzie zostali stworzeni przez Boga. Rdz 2,7 wskazuje dwa szczególne dokonania Stwórcy. Wynikiem pierwszego z tych dokonań było stworzenie pierwszego człowieka, Adama: „U</w:t>
      </w:r>
      <w:r w:rsidRPr="00AE0ED3">
        <w:rPr>
          <w:rFonts w:ascii="Times New Roman" w:eastAsiaTheme="minorHAnsi" w:hAnsi="Times New Roman"/>
          <w:color w:val="000000"/>
          <w:sz w:val="20"/>
          <w:lang w:eastAsia="en-US"/>
        </w:rPr>
        <w:t>kształtował Pan Bóg człowieka z prochu ziemi i [drugie dokonanie] tchnął w nozdrza jego dech życia. Wtedy [w wyniku powyższego] stał się człowiek istotą żywą [</w:t>
      </w:r>
      <w:r w:rsidRPr="00AE0ED3">
        <w:rPr>
          <w:rFonts w:ascii="Times New Roman" w:eastAsiaTheme="minorHAnsi" w:hAnsi="Times New Roman"/>
          <w:i/>
          <w:color w:val="000000"/>
          <w:sz w:val="20"/>
          <w:lang w:eastAsia="en-US"/>
        </w:rPr>
        <w:t>nefesz</w:t>
      </w:r>
      <w:r w:rsidRPr="00AE0ED3">
        <w:rPr>
          <w:rFonts w:ascii="Times New Roman" w:eastAsiaTheme="minorHAnsi" w:hAnsi="Times New Roman"/>
          <w:i/>
          <w:iCs/>
          <w:color w:val="000000"/>
          <w:sz w:val="20"/>
          <w:lang w:eastAsia="en-US"/>
        </w:rPr>
        <w:t xml:space="preserve"> hajah</w:t>
      </w:r>
      <w:r w:rsidRPr="00AE0ED3">
        <w:rPr>
          <w:rFonts w:ascii="Times New Roman" w:eastAsiaTheme="minorHAnsi" w:hAnsi="Times New Roman"/>
          <w:color w:val="000000"/>
          <w:sz w:val="20"/>
          <w:lang w:eastAsia="en-US"/>
        </w:rPr>
        <w:t>]</w:t>
      </w:r>
      <w:r w:rsidRPr="00AE0ED3">
        <w:rPr>
          <w:rFonts w:ascii="Times New Roman" w:hAnsi="Times New Roman"/>
          <w:bCs/>
          <w:sz w:val="20"/>
        </w:rPr>
        <w:t xml:space="preserve">” </w:t>
      </w:r>
      <w:r w:rsidRPr="00AE0ED3">
        <w:rPr>
          <w:rFonts w:ascii="Times New Roman" w:hAnsi="Times New Roman"/>
          <w:iCs/>
          <w:sz w:val="20"/>
        </w:rPr>
        <w:t>(Rdz 2,7)</w:t>
      </w:r>
      <w:r w:rsidRPr="00AE0ED3">
        <w:rPr>
          <w:rFonts w:ascii="Times New Roman" w:hAnsi="Times New Roman"/>
          <w:bCs/>
          <w:sz w:val="20"/>
        </w:rPr>
        <w:t xml:space="preserve">. Z ontologicznego punktu widzenia jesteśmy jednością (ciało + duch = dusza żyjąca). Bóg stworzył Adama jako żywą istotę, człowieka, dosłownie nazwaną w oryginale „duszą żyjącą”. Słowo „dusza” oznacza tu „osobę”, „istotę”, „jestestwo”. Podstawą biblijnej antropologii jest fakt, iż </w:t>
      </w:r>
      <w:r w:rsidRPr="00AE0ED3">
        <w:rPr>
          <w:rFonts w:ascii="Times New Roman" w:hAnsi="Times New Roman"/>
          <w:bCs/>
          <w:i/>
          <w:iCs/>
          <w:sz w:val="20"/>
        </w:rPr>
        <w:t>jesteśmy</w:t>
      </w:r>
      <w:r w:rsidRPr="00AE0ED3">
        <w:rPr>
          <w:rFonts w:ascii="Times New Roman" w:hAnsi="Times New Roman"/>
          <w:bCs/>
          <w:sz w:val="20"/>
        </w:rPr>
        <w:t xml:space="preserve"> duszą, a nie </w:t>
      </w:r>
      <w:r w:rsidRPr="00AE0ED3">
        <w:rPr>
          <w:rFonts w:ascii="Times New Roman" w:hAnsi="Times New Roman"/>
          <w:bCs/>
          <w:i/>
          <w:iCs/>
          <w:sz w:val="20"/>
        </w:rPr>
        <w:t>mamy</w:t>
      </w:r>
      <w:r w:rsidRPr="00AE0ED3">
        <w:rPr>
          <w:rFonts w:ascii="Times New Roman" w:hAnsi="Times New Roman"/>
          <w:bCs/>
          <w:sz w:val="20"/>
        </w:rPr>
        <w:t xml:space="preserve"> duszę. „Co oznacza tu [w Rdz 2,7] słowo </w:t>
      </w:r>
      <w:r w:rsidRPr="00AE0ED3">
        <w:rPr>
          <w:rFonts w:ascii="Times New Roman" w:hAnsi="Times New Roman"/>
          <w:bCs/>
          <w:i/>
          <w:iCs/>
          <w:sz w:val="20"/>
        </w:rPr>
        <w:t>nefesz</w:t>
      </w:r>
      <w:r w:rsidRPr="00AE0ED3">
        <w:rPr>
          <w:rFonts w:ascii="Times New Roman" w:hAnsi="Times New Roman"/>
          <w:bCs/>
          <w:sz w:val="20"/>
        </w:rPr>
        <w:t xml:space="preserve"> [dusza]? Z pewnością nie duszę w tradycyjnym dualistycznym sensie. </w:t>
      </w:r>
      <w:r w:rsidRPr="00AE0ED3">
        <w:rPr>
          <w:rFonts w:ascii="Times New Roman" w:hAnsi="Times New Roman"/>
          <w:bCs/>
          <w:i/>
          <w:iCs/>
          <w:sz w:val="20"/>
        </w:rPr>
        <w:t>Nefesz</w:t>
      </w:r>
      <w:r w:rsidRPr="00AE0ED3">
        <w:rPr>
          <w:rFonts w:ascii="Times New Roman" w:hAnsi="Times New Roman"/>
          <w:bCs/>
          <w:sz w:val="20"/>
        </w:rPr>
        <w:t xml:space="preserve"> należy rozumieć jako nierozerwalnie związaną z postacią człowieka, a w szczególności jego oddechem. Ponadto człowiek </w:t>
      </w:r>
      <w:r w:rsidRPr="00AE0ED3">
        <w:rPr>
          <w:rFonts w:ascii="Times New Roman" w:hAnsi="Times New Roman"/>
          <w:bCs/>
          <w:i/>
          <w:iCs/>
          <w:sz w:val="20"/>
        </w:rPr>
        <w:t>nie ma nefesz</w:t>
      </w:r>
      <w:r w:rsidRPr="00AE0ED3">
        <w:rPr>
          <w:rFonts w:ascii="Times New Roman" w:hAnsi="Times New Roman"/>
          <w:bCs/>
          <w:sz w:val="20"/>
        </w:rPr>
        <w:t xml:space="preserve">, ale </w:t>
      </w:r>
      <w:r w:rsidRPr="00AE0ED3">
        <w:rPr>
          <w:rFonts w:ascii="Times New Roman" w:hAnsi="Times New Roman"/>
          <w:bCs/>
          <w:i/>
          <w:iCs/>
          <w:sz w:val="20"/>
        </w:rPr>
        <w:t>jest nefesz</w:t>
      </w:r>
      <w:r w:rsidRPr="00AE0ED3">
        <w:rPr>
          <w:rFonts w:ascii="Times New Roman" w:hAnsi="Times New Roman"/>
          <w:bCs/>
          <w:sz w:val="20"/>
        </w:rPr>
        <w:t xml:space="preserve">, żyje jako </w:t>
      </w:r>
      <w:r w:rsidRPr="00AE0ED3">
        <w:rPr>
          <w:rFonts w:ascii="Times New Roman" w:hAnsi="Times New Roman"/>
          <w:bCs/>
          <w:i/>
          <w:iCs/>
          <w:sz w:val="20"/>
        </w:rPr>
        <w:t>nefesz</w:t>
      </w:r>
      <w:r w:rsidRPr="00AE0ED3">
        <w:rPr>
          <w:rFonts w:ascii="Times New Roman" w:hAnsi="Times New Roman"/>
          <w:bCs/>
          <w:sz w:val="20"/>
        </w:rPr>
        <w:t>” (</w:t>
      </w:r>
      <w:r w:rsidRPr="00AE0ED3">
        <w:rPr>
          <w:rFonts w:ascii="Times New Roman" w:hAnsi="Times New Roman"/>
          <w:sz w:val="20"/>
        </w:rPr>
        <w:t xml:space="preserve">Hans Walter Wolff, </w:t>
      </w:r>
      <w:r w:rsidRPr="00AE0ED3">
        <w:rPr>
          <w:rFonts w:ascii="Times New Roman" w:hAnsi="Times New Roman"/>
          <w:i/>
          <w:iCs/>
          <w:sz w:val="20"/>
        </w:rPr>
        <w:t>Anthropology of the Old Testament</w:t>
      </w:r>
      <w:r w:rsidRPr="00AE0ED3">
        <w:rPr>
          <w:rFonts w:ascii="Times New Roman" w:hAnsi="Times New Roman"/>
          <w:sz w:val="20"/>
        </w:rPr>
        <w:t>, Filadelfia 1974, s. 10</w:t>
      </w:r>
      <w:r w:rsidRPr="00AE0ED3">
        <w:rPr>
          <w:rFonts w:ascii="Times New Roman" w:hAnsi="Times New Roman"/>
          <w:bCs/>
          <w:sz w:val="20"/>
        </w:rPr>
        <w:t>).</w:t>
      </w:r>
    </w:p>
    <w:p w14:paraId="36D8044C" w14:textId="6432E295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Bóg stworzył ludzi jako żywe, działające ciało, a nie inkarnowaną duszę. Zatem ludzie nie zostali stworzeni z nieśmiertelną duszą jako jestestwem osadzonym w nich, ale jako istoty ludzkie, które </w:t>
      </w:r>
      <w:r w:rsidRPr="00AE0ED3">
        <w:rPr>
          <w:rFonts w:ascii="Times New Roman" w:hAnsi="Times New Roman"/>
          <w:bCs/>
          <w:i/>
          <w:iCs/>
          <w:sz w:val="20"/>
        </w:rPr>
        <w:t>są</w:t>
      </w:r>
      <w:r w:rsidRPr="00AE0ED3">
        <w:rPr>
          <w:rFonts w:ascii="Times New Roman" w:hAnsi="Times New Roman"/>
          <w:bCs/>
          <w:sz w:val="20"/>
        </w:rPr>
        <w:t xml:space="preserve"> duszami. Nauka ta została potwierdzona później przez użycie tego terminu w </w:t>
      </w:r>
      <w:r w:rsidRPr="00AE0ED3">
        <w:rPr>
          <w:rFonts w:ascii="Times New Roman" w:hAnsi="Times New Roman"/>
          <w:bCs/>
          <w:i/>
          <w:iCs/>
          <w:sz w:val="20"/>
        </w:rPr>
        <w:t>Piśmie Świętym</w:t>
      </w:r>
      <w:r w:rsidRPr="00AE0ED3">
        <w:rPr>
          <w:rFonts w:ascii="Times New Roman" w:hAnsi="Times New Roman"/>
          <w:bCs/>
          <w:sz w:val="20"/>
        </w:rPr>
        <w:t xml:space="preserve"> przez innych autorów. Na przykład, (1) </w:t>
      </w:r>
      <w:r w:rsidRPr="00AE0ED3">
        <w:rPr>
          <w:rFonts w:ascii="Times New Roman" w:hAnsi="Times New Roman"/>
          <w:bCs/>
          <w:i/>
          <w:iCs/>
          <w:sz w:val="20"/>
        </w:rPr>
        <w:t>Księga Rodzaju</w:t>
      </w:r>
      <w:r w:rsidRPr="00AE0ED3">
        <w:rPr>
          <w:rFonts w:ascii="Times New Roman" w:hAnsi="Times New Roman"/>
          <w:bCs/>
          <w:sz w:val="20"/>
        </w:rPr>
        <w:t xml:space="preserve"> wymienia liczbę „osób”, które wyruszyły z Jakubem do Egiptu, nazywając te osoby „duszami” </w:t>
      </w:r>
      <w:r w:rsidRPr="00AE0ED3">
        <w:rPr>
          <w:rFonts w:ascii="Times New Roman" w:hAnsi="Times New Roman"/>
          <w:iCs/>
          <w:sz w:val="20"/>
        </w:rPr>
        <w:t>(Rdz 46,15.22.25.26.27)</w:t>
      </w:r>
      <w:r w:rsidRPr="00AE0ED3">
        <w:rPr>
          <w:rFonts w:ascii="Times New Roman" w:hAnsi="Times New Roman"/>
          <w:bCs/>
          <w:sz w:val="20"/>
        </w:rPr>
        <w:t>; (2) Łukasz informuje o liczbie osób ochrzczonych po kazaniu Piotra w dniu Pięćdziesiątnicy - trzy tysiące osób (Dz 2,41) - nazywając te osoby trzema tysiącami dusz. Ciało, dusza i duch funkcjonują w ścisłym powiązaniu ze sobą, co wskazuje na nierozerwalne połączenie duchowych, umysłowych i</w:t>
      </w:r>
      <w:r>
        <w:rPr>
          <w:rFonts w:ascii="Times New Roman" w:hAnsi="Times New Roman"/>
          <w:bCs/>
          <w:sz w:val="20"/>
        </w:rPr>
        <w:t> </w:t>
      </w:r>
      <w:r w:rsidRPr="00AE0ED3">
        <w:rPr>
          <w:rFonts w:ascii="Times New Roman" w:hAnsi="Times New Roman"/>
          <w:bCs/>
          <w:sz w:val="20"/>
        </w:rPr>
        <w:t>edukacyjnych zdolności człowieka. Do tego musimy dodać także wymiar społeczny, gdyż zostaliśmy stworzeni jako istoty społeczne. Paweł nawiązuje do tego wielowymiarowego obrazu istoty ludzkiej i wyjaśnia, że jako ludzie potrzebujemy Bożego odrodzenia przez łaskę i moc Ducha Świętego: „</w:t>
      </w:r>
      <w:r w:rsidRPr="00AE0ED3">
        <w:rPr>
          <w:rFonts w:ascii="Times New Roman" w:eastAsiaTheme="minorHAnsi" w:hAnsi="Times New Roman"/>
          <w:color w:val="000000"/>
          <w:sz w:val="20"/>
          <w:lang w:eastAsia="en-US"/>
        </w:rPr>
        <w:t>A sam Bóg pokoju niechaj was w zupełności poświęci, a cały duch wasz i dusza, i ciało niech będą zachowane bez nagany na przyjście Pana naszego, Jezusa Chrystusa</w:t>
      </w:r>
      <w:r w:rsidRPr="00AE0ED3">
        <w:rPr>
          <w:rFonts w:ascii="Times New Roman" w:hAnsi="Times New Roman"/>
          <w:bCs/>
          <w:sz w:val="20"/>
        </w:rPr>
        <w:t xml:space="preserve">” </w:t>
      </w:r>
      <w:r w:rsidRPr="00AE0ED3">
        <w:rPr>
          <w:rFonts w:ascii="Times New Roman" w:hAnsi="Times New Roman"/>
          <w:iCs/>
          <w:sz w:val="20"/>
        </w:rPr>
        <w:t>(1 Tes 5,23)</w:t>
      </w:r>
      <w:r w:rsidRPr="00AE0ED3">
        <w:rPr>
          <w:rFonts w:ascii="Times New Roman" w:hAnsi="Times New Roman"/>
          <w:bCs/>
          <w:sz w:val="20"/>
        </w:rPr>
        <w:t>.</w:t>
      </w:r>
    </w:p>
    <w:p w14:paraId="18299E32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Tak więc wszystko, kim jesteśmy i co czynimy, musi być uświęcone przez Boga. W naszej ludzkiej egzystencji doświadczamy życia na poziomach: fizycznym, emocjonalnym, umysłowo-intelektualnym, duchowym i społecznym. W praktyce nie sposób ich rozdzielić. Na przykład, kiedy wykonujemy ćwiczenia fizyczne (bieg, gimnastyka, jazda rowerem) odczuwamy jednocześnie uczucia, myślimy, a także doznajemy wrażeń duchowych (np. modlimy się czy rozmyślamy o Słowie Bożym), jak również realizujemy się społecznie (ćwicząc z innymi osobami).</w:t>
      </w:r>
    </w:p>
    <w:p w14:paraId="0FA69BB0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</w:p>
    <w:p w14:paraId="7782A979" w14:textId="77777777" w:rsidR="00313E01" w:rsidRDefault="00313E01">
      <w:pPr>
        <w:spacing w:after="160" w:line="259" w:lineRule="auto"/>
        <w:ind w:firstLine="0"/>
        <w:jc w:val="left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br w:type="page"/>
      </w:r>
    </w:p>
    <w:p w14:paraId="05AF7945" w14:textId="0859C90D" w:rsidR="003A0F39" w:rsidRDefault="003A0F39" w:rsidP="003A0F39">
      <w:pPr>
        <w:rPr>
          <w:rFonts w:ascii="Times New Roman" w:hAnsi="Times New Roman"/>
          <w:b/>
          <w:bCs/>
          <w:sz w:val="20"/>
        </w:rPr>
      </w:pPr>
      <w:r w:rsidRPr="00AE0ED3">
        <w:rPr>
          <w:rFonts w:ascii="Times New Roman" w:hAnsi="Times New Roman"/>
          <w:b/>
          <w:bCs/>
          <w:sz w:val="20"/>
        </w:rPr>
        <w:lastRenderedPageBreak/>
        <w:t>Śmierć - odwrotność życia</w:t>
      </w:r>
    </w:p>
    <w:p w14:paraId="41CD9F01" w14:textId="77777777" w:rsidR="00313E01" w:rsidRPr="00AE0ED3" w:rsidRDefault="00313E01" w:rsidP="003A0F39">
      <w:pPr>
        <w:rPr>
          <w:rFonts w:ascii="Times New Roman" w:hAnsi="Times New Roman"/>
          <w:b/>
          <w:bCs/>
          <w:sz w:val="20"/>
        </w:rPr>
      </w:pPr>
    </w:p>
    <w:p w14:paraId="37CC06BC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Śmierć powoduje odwrócenie Bożego procesu stworzenia nas jako żywych istot. Najważniejsze, że nasza tożsamość zostaje zachowana w pamięci Boga. Salomon w poetyckim języku mówi: „</w:t>
      </w:r>
      <w:r w:rsidRPr="00AE0ED3">
        <w:rPr>
          <w:rFonts w:ascii="Times New Roman" w:eastAsiaTheme="minorHAnsi" w:hAnsi="Times New Roman"/>
          <w:color w:val="000000"/>
          <w:sz w:val="20"/>
          <w:lang w:eastAsia="en-US"/>
        </w:rPr>
        <w:t>Pamiętaj o swoim Stwórcy (...) zanim zerwie się srebrny sznur i stłucze złota czasza, i rozbije się dzban nad zdrojem, a pęknięte koło wpadnie do studni. Wróci się proch do ziemi, tak jak nim był, duch zaś wróci do Boga, który go dał</w:t>
      </w:r>
      <w:r w:rsidRPr="00AE0ED3">
        <w:rPr>
          <w:rFonts w:ascii="Times New Roman" w:hAnsi="Times New Roman"/>
          <w:bCs/>
          <w:sz w:val="20"/>
        </w:rPr>
        <w:t xml:space="preserve">” </w:t>
      </w:r>
      <w:r w:rsidRPr="00AE0ED3">
        <w:rPr>
          <w:rFonts w:ascii="Times New Roman" w:hAnsi="Times New Roman"/>
          <w:iCs/>
          <w:sz w:val="20"/>
        </w:rPr>
        <w:t>(Koh 12,1.6-7)</w:t>
      </w:r>
      <w:r w:rsidRPr="00AE0ED3">
        <w:rPr>
          <w:rFonts w:ascii="Times New Roman" w:hAnsi="Times New Roman"/>
          <w:bCs/>
          <w:sz w:val="20"/>
        </w:rPr>
        <w:t xml:space="preserve">. „Duch” oznacza tu „charakter” </w:t>
      </w:r>
      <w:r w:rsidRPr="00AE0ED3">
        <w:rPr>
          <w:rFonts w:ascii="Times New Roman" w:hAnsi="Times New Roman"/>
          <w:iCs/>
          <w:sz w:val="20"/>
        </w:rPr>
        <w:t>(Ps 32,2)</w:t>
      </w:r>
      <w:r w:rsidRPr="00AE0ED3">
        <w:rPr>
          <w:rFonts w:ascii="Times New Roman" w:hAnsi="Times New Roman"/>
          <w:bCs/>
          <w:sz w:val="20"/>
        </w:rPr>
        <w:t xml:space="preserve">, naszą tożsamość. Nie zostajemy zapomniani przez Boga, bo nasze imiona są zapisane w księdze żywota </w:t>
      </w:r>
      <w:r w:rsidRPr="00AE0ED3">
        <w:rPr>
          <w:rFonts w:ascii="Times New Roman" w:hAnsi="Times New Roman"/>
          <w:iCs/>
          <w:sz w:val="20"/>
        </w:rPr>
        <w:t>(Flp 4,3; Ap 3,5; 13,8; 20,15; 21,27)</w:t>
      </w:r>
      <w:r w:rsidRPr="00AE0ED3">
        <w:rPr>
          <w:rFonts w:ascii="Times New Roman" w:hAnsi="Times New Roman"/>
          <w:bCs/>
          <w:sz w:val="20"/>
        </w:rPr>
        <w:t>.</w:t>
      </w:r>
    </w:p>
    <w:p w14:paraId="292B3CC1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Wbrew powszechnemu rozumieniu nieśmiertelności ludzki duch nie istnieje po śmierci ciała i nie kontynuuje bezcielesnej, świadomej egzystencji. Dusza czyli istota ludzka jest śmiertelna. Ezechiel wyraźnie napisał, że „dusza” umiera: „</w:t>
      </w:r>
      <w:r w:rsidRPr="00AE0ED3">
        <w:rPr>
          <w:rFonts w:ascii="Times New Roman" w:eastAsiaTheme="minorHAnsi" w:hAnsi="Times New Roman"/>
          <w:color w:val="000000"/>
          <w:sz w:val="20"/>
          <w:lang w:eastAsia="en-US"/>
        </w:rPr>
        <w:t>Dusza [hebr. </w:t>
      </w:r>
      <w:r w:rsidRPr="00AE0ED3">
        <w:rPr>
          <w:rFonts w:ascii="Times New Roman" w:eastAsiaTheme="minorHAnsi" w:hAnsi="Times New Roman"/>
          <w:i/>
          <w:iCs/>
          <w:color w:val="000000"/>
          <w:sz w:val="20"/>
          <w:lang w:eastAsia="en-US"/>
        </w:rPr>
        <w:t>nefesz</w:t>
      </w:r>
      <w:r w:rsidRPr="00AE0ED3">
        <w:rPr>
          <w:rFonts w:ascii="Times New Roman" w:eastAsiaTheme="minorHAnsi" w:hAnsi="Times New Roman"/>
          <w:color w:val="000000"/>
          <w:sz w:val="20"/>
          <w:lang w:eastAsia="en-US"/>
        </w:rPr>
        <w:t>], która grzeszy, ta umrze</w:t>
      </w:r>
      <w:r w:rsidRPr="00AE0ED3">
        <w:rPr>
          <w:rFonts w:ascii="Times New Roman" w:hAnsi="Times New Roman"/>
          <w:bCs/>
          <w:sz w:val="20"/>
        </w:rPr>
        <w:t xml:space="preserve">” </w:t>
      </w:r>
      <w:r w:rsidRPr="00AE0ED3">
        <w:rPr>
          <w:rFonts w:ascii="Times New Roman" w:hAnsi="Times New Roman"/>
          <w:iCs/>
          <w:sz w:val="20"/>
        </w:rPr>
        <w:t>(Ez 18,4)</w:t>
      </w:r>
      <w:r w:rsidRPr="00AE0ED3">
        <w:rPr>
          <w:rFonts w:ascii="Times New Roman" w:hAnsi="Times New Roman"/>
          <w:bCs/>
          <w:sz w:val="20"/>
        </w:rPr>
        <w:t>. Dusza, czyli osoba, która nie żyje zgodnie z wolą Bożą, zginie. To znaczy, że dusza (istota ludzka), może umrzeć wskutek grzechu. Jezus potwierdził to dobitnie: „</w:t>
      </w:r>
      <w:r w:rsidRPr="00AE0ED3">
        <w:rPr>
          <w:rFonts w:ascii="Times New Roman" w:eastAsiaTheme="minorHAnsi" w:hAnsi="Times New Roman"/>
          <w:color w:val="000000"/>
          <w:sz w:val="20"/>
          <w:lang w:eastAsia="en-US"/>
        </w:rPr>
        <w:t>Bójcie się raczej tego, który może i duszę i ciało zniszczyć w piekle</w:t>
      </w:r>
      <w:r w:rsidRPr="00AE0ED3">
        <w:rPr>
          <w:rFonts w:ascii="Times New Roman" w:hAnsi="Times New Roman"/>
          <w:bCs/>
          <w:sz w:val="20"/>
        </w:rPr>
        <w:t xml:space="preserve">” </w:t>
      </w:r>
      <w:r w:rsidRPr="00AE0ED3">
        <w:rPr>
          <w:rFonts w:ascii="Times New Roman" w:hAnsi="Times New Roman"/>
          <w:iCs/>
          <w:sz w:val="20"/>
        </w:rPr>
        <w:t>(Mt 10,28)</w:t>
      </w:r>
      <w:r w:rsidRPr="00AE0ED3">
        <w:rPr>
          <w:rFonts w:ascii="Times New Roman" w:hAnsi="Times New Roman"/>
          <w:bCs/>
          <w:sz w:val="20"/>
        </w:rPr>
        <w:t>. Zwróć uwagę, że Jezus mówi tu o całym człowieku („duszę i ciało” jako wewnętrzny i zewnętrzny wymiar naszej egzystencji) zniszczonym w piekle (</w:t>
      </w:r>
      <w:r w:rsidRPr="00AE0ED3">
        <w:rPr>
          <w:rFonts w:ascii="Times New Roman" w:hAnsi="Times New Roman"/>
          <w:bCs/>
          <w:i/>
          <w:iCs/>
          <w:sz w:val="20"/>
        </w:rPr>
        <w:t>gehenna</w:t>
      </w:r>
      <w:r w:rsidRPr="00AE0ED3">
        <w:rPr>
          <w:rFonts w:ascii="Times New Roman" w:hAnsi="Times New Roman"/>
          <w:bCs/>
          <w:sz w:val="20"/>
        </w:rPr>
        <w:t>), w jeziorze ognia.</w:t>
      </w:r>
    </w:p>
    <w:p w14:paraId="7AC68583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Dusza nie istnieje bez ciała i nie trwa po śmierci ciała. Skoro Bóg może unicestwić duszę, to znaczy, że jest ona śmiertelna. Dusza oznacza tu życie człowieka, jego istnienie i przeznaczenie, a nie nieśmiertelnego ducha. Ciało zaś oznacza fizyczną, doczesną egzystencję. „Odnosząc do hebrajskiej </w:t>
      </w:r>
      <w:r w:rsidRPr="00AE0ED3">
        <w:rPr>
          <w:rFonts w:ascii="Times New Roman" w:hAnsi="Times New Roman"/>
          <w:bCs/>
          <w:i/>
          <w:iCs/>
          <w:sz w:val="20"/>
        </w:rPr>
        <w:t>nefesz</w:t>
      </w:r>
      <w:r w:rsidRPr="00AE0ED3">
        <w:rPr>
          <w:rFonts w:ascii="Times New Roman" w:hAnsi="Times New Roman"/>
          <w:bCs/>
          <w:sz w:val="20"/>
        </w:rPr>
        <w:t xml:space="preserve"> [duszy] (...) cechy platońskiej </w:t>
      </w:r>
      <w:r w:rsidRPr="00AE0ED3">
        <w:rPr>
          <w:rFonts w:ascii="Times New Roman" w:hAnsi="Times New Roman"/>
          <w:bCs/>
          <w:i/>
          <w:iCs/>
          <w:sz w:val="20"/>
        </w:rPr>
        <w:t>psyche</w:t>
      </w:r>
      <w:r w:rsidRPr="00AE0ED3">
        <w:rPr>
          <w:rFonts w:ascii="Times New Roman" w:hAnsi="Times New Roman"/>
          <w:bCs/>
          <w:sz w:val="20"/>
        </w:rPr>
        <w:t xml:space="preserve"> [duszy] (...) sprawiamy, że prawdziwe znaczenie </w:t>
      </w:r>
      <w:r w:rsidRPr="00AE0ED3">
        <w:rPr>
          <w:rFonts w:ascii="Times New Roman" w:hAnsi="Times New Roman"/>
          <w:bCs/>
          <w:i/>
          <w:iCs/>
          <w:sz w:val="20"/>
        </w:rPr>
        <w:t>nefesz</w:t>
      </w:r>
      <w:r w:rsidRPr="00AE0ED3">
        <w:rPr>
          <w:rFonts w:ascii="Times New Roman" w:hAnsi="Times New Roman"/>
          <w:bCs/>
          <w:sz w:val="20"/>
        </w:rPr>
        <w:t xml:space="preserve"> umyka nam, co rodzi niezmierne problemy” (</w:t>
      </w:r>
      <w:r w:rsidRPr="00AE0ED3">
        <w:rPr>
          <w:rFonts w:ascii="Times New Roman" w:hAnsi="Times New Roman"/>
          <w:sz w:val="20"/>
        </w:rPr>
        <w:t xml:space="preserve">Claude Tresmontant, </w:t>
      </w:r>
      <w:r w:rsidRPr="00AE0ED3">
        <w:rPr>
          <w:rFonts w:ascii="Times New Roman" w:hAnsi="Times New Roman"/>
          <w:i/>
          <w:iCs/>
          <w:sz w:val="20"/>
        </w:rPr>
        <w:t>A Study of Hebrew Thought</w:t>
      </w:r>
      <w:r w:rsidRPr="00AE0ED3">
        <w:rPr>
          <w:rFonts w:ascii="Times New Roman" w:hAnsi="Times New Roman"/>
          <w:sz w:val="20"/>
        </w:rPr>
        <w:t>, przekł. Michael Francis Gibson, Nowy Jork 1960, s. 94</w:t>
      </w:r>
      <w:r w:rsidRPr="00AE0ED3">
        <w:rPr>
          <w:rFonts w:ascii="Times New Roman" w:hAnsi="Times New Roman"/>
          <w:bCs/>
          <w:sz w:val="20"/>
        </w:rPr>
        <w:t>).</w:t>
      </w:r>
    </w:p>
    <w:p w14:paraId="2CFCE4C8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Śmierć jest snem, odpoczynkiem, a umierając wierzący przyłącza się do ludu Bożego, tzn. schodzi do grobu do przodków </w:t>
      </w:r>
      <w:r w:rsidRPr="00AE0ED3">
        <w:rPr>
          <w:rFonts w:ascii="Times New Roman" w:hAnsi="Times New Roman"/>
          <w:iCs/>
          <w:sz w:val="20"/>
        </w:rPr>
        <w:t>(Rdz 25,8; 2 Sm 7,12; 1 Krl 2,10; 1 Krl 22,40; Ps 13,4; J 11,11-15; Dz 13,36; Ap 14,13)</w:t>
      </w:r>
      <w:r w:rsidRPr="00AE0ED3">
        <w:rPr>
          <w:rFonts w:ascii="Times New Roman" w:hAnsi="Times New Roman"/>
          <w:bCs/>
          <w:sz w:val="20"/>
        </w:rPr>
        <w:t xml:space="preserve">. Umarli niczego nie wiedzą, nie chwalą Boga, nie pracują ani nie planują - po prostu nie czynią nic spoczywając w grobie </w:t>
      </w:r>
      <w:r w:rsidRPr="00AE0ED3">
        <w:rPr>
          <w:rFonts w:ascii="Times New Roman" w:hAnsi="Times New Roman"/>
          <w:iCs/>
          <w:sz w:val="20"/>
        </w:rPr>
        <w:t>(Hi 3,11-13; Ps 115,17; Ps 146,4; Koh 9,5-10)</w:t>
      </w:r>
      <w:r w:rsidRPr="00AE0ED3">
        <w:rPr>
          <w:rFonts w:ascii="Times New Roman" w:hAnsi="Times New Roman"/>
          <w:bCs/>
          <w:sz w:val="20"/>
        </w:rPr>
        <w:t>.</w:t>
      </w:r>
    </w:p>
    <w:p w14:paraId="7CE19F99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</w:p>
    <w:p w14:paraId="76B4B3B4" w14:textId="6AAC782C" w:rsidR="003A0F39" w:rsidRDefault="003A0F39" w:rsidP="003A0F39">
      <w:pPr>
        <w:rPr>
          <w:rFonts w:ascii="Times New Roman" w:hAnsi="Times New Roman"/>
          <w:b/>
          <w:sz w:val="20"/>
        </w:rPr>
      </w:pPr>
      <w:r w:rsidRPr="00AE0ED3">
        <w:rPr>
          <w:rFonts w:ascii="Times New Roman" w:hAnsi="Times New Roman"/>
          <w:b/>
          <w:sz w:val="20"/>
        </w:rPr>
        <w:t>Pogańskie pochodzenie nieśmiertelności duszy</w:t>
      </w:r>
    </w:p>
    <w:p w14:paraId="758B1B81" w14:textId="77777777" w:rsidR="00313E01" w:rsidRPr="00AE0ED3" w:rsidRDefault="00313E01" w:rsidP="003A0F39">
      <w:pPr>
        <w:rPr>
          <w:rFonts w:ascii="Times New Roman" w:hAnsi="Times New Roman"/>
          <w:bCs/>
          <w:sz w:val="20"/>
        </w:rPr>
      </w:pPr>
    </w:p>
    <w:p w14:paraId="0D5EFBCD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Wiara w nieśmiertelność duszy wywodzi się z greckiej filozofii. Pitagorsa (nieco młodszy od proroka Daniela) opierał swoje nauki religijna na założeniu metempsychozy, zgodnie z którym dusza nigdy nie umiera, ale przechodzi cykle odradzania się, aż uwolni się od nich dzięki czystości życia. Pitagoras wierzył w transmigrację czyli reinkarnację duszy w ciałach ludzi, zwierząt a nawet roślinach w dążeniu do nieśmiertelności. Poglądy Pitagorasa na reinkarnację miały podstawę w greckiej religii.</w:t>
      </w:r>
    </w:p>
    <w:p w14:paraId="0FEEA13F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Platon (mniej więcej współczesnym Malachiaszowi, ostatniemu prorokowi </w:t>
      </w:r>
      <w:r w:rsidRPr="00AE0ED3">
        <w:rPr>
          <w:rFonts w:ascii="Times New Roman" w:hAnsi="Times New Roman"/>
          <w:bCs/>
          <w:i/>
          <w:iCs/>
          <w:sz w:val="20"/>
        </w:rPr>
        <w:t>Starego Testamentu</w:t>
      </w:r>
      <w:r w:rsidRPr="00AE0ED3">
        <w:rPr>
          <w:rFonts w:ascii="Times New Roman" w:hAnsi="Times New Roman"/>
          <w:bCs/>
          <w:sz w:val="20"/>
        </w:rPr>
        <w:t xml:space="preserve">) rozwinął tę hellenistyczną naukę, popularyzując wiarę w nieśmiertelną duszę. W okresie międzytestamentalnym nauka o wiecznych mękach piekielnych (Jdt 16,17) i praktyka modlitwy za zmarłych (2 Mch 12,39-45) zaczęły przenikać do religii żydowskiej (zob. także przejawy tego trendu w: </w:t>
      </w:r>
      <w:r w:rsidRPr="00AE0ED3">
        <w:rPr>
          <w:rFonts w:ascii="Times New Roman" w:hAnsi="Times New Roman"/>
          <w:iCs/>
          <w:sz w:val="20"/>
        </w:rPr>
        <w:t>Tb 14,6-8; Syr 7,17; 19,2-3; 21,9; 36,7-10; Br 4,32-35; 1 Mch 2,62-64; 2 Mch 7,9.14</w:t>
      </w:r>
      <w:r w:rsidRPr="00AE0ED3">
        <w:rPr>
          <w:rFonts w:ascii="Times New Roman" w:hAnsi="Times New Roman"/>
          <w:bCs/>
          <w:sz w:val="20"/>
        </w:rPr>
        <w:t>). Józef Flawiusz wspomina, że faryzeusze wierzyli w nieśmiertelność duszy (</w:t>
      </w:r>
      <w:r w:rsidRPr="00AE0ED3">
        <w:rPr>
          <w:rFonts w:ascii="Times New Roman" w:hAnsi="Times New Roman"/>
          <w:sz w:val="20"/>
        </w:rPr>
        <w:t xml:space="preserve">zob. Józef Flawiusz, </w:t>
      </w:r>
      <w:r w:rsidRPr="00AE0ED3">
        <w:rPr>
          <w:rFonts w:ascii="Times New Roman" w:hAnsi="Times New Roman"/>
          <w:i/>
          <w:iCs/>
          <w:sz w:val="20"/>
        </w:rPr>
        <w:t>Wojny żydowskie</w:t>
      </w:r>
      <w:r w:rsidRPr="00AE0ED3">
        <w:rPr>
          <w:rFonts w:ascii="Times New Roman" w:hAnsi="Times New Roman"/>
          <w:sz w:val="20"/>
        </w:rPr>
        <w:t xml:space="preserve">, 2.8.14; </w:t>
      </w:r>
      <w:r w:rsidRPr="00AE0ED3">
        <w:rPr>
          <w:rFonts w:ascii="Times New Roman" w:hAnsi="Times New Roman"/>
          <w:i/>
          <w:iCs/>
          <w:sz w:val="20"/>
        </w:rPr>
        <w:t>Dawne dzieje Izraela</w:t>
      </w:r>
      <w:r w:rsidRPr="00AE0ED3">
        <w:rPr>
          <w:rFonts w:ascii="Times New Roman" w:hAnsi="Times New Roman"/>
          <w:sz w:val="20"/>
        </w:rPr>
        <w:t>, 18.1.2-3</w:t>
      </w:r>
      <w:r w:rsidRPr="00AE0ED3">
        <w:rPr>
          <w:rFonts w:ascii="Times New Roman" w:hAnsi="Times New Roman"/>
          <w:bCs/>
          <w:sz w:val="20"/>
        </w:rPr>
        <w:t>).</w:t>
      </w:r>
    </w:p>
    <w:p w14:paraId="50ACA316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Tertulian (ok. 155-220), chrześcijański apologeta, był jednym z pierwszych chrześcijan twierdzących, że ludzie mają nieśmiertelną duszę: „Mogę więc posłużyć się stwierdzeniem Platona, kiedy oświadcza: »Każda dusza jest nieśmiertelna«” (</w:t>
      </w:r>
      <w:r w:rsidRPr="00AE0ED3">
        <w:rPr>
          <w:rFonts w:ascii="Times New Roman" w:hAnsi="Times New Roman"/>
          <w:sz w:val="20"/>
        </w:rPr>
        <w:t xml:space="preserve">Tertullian, „On the Resurrection of the Flesh”, </w:t>
      </w:r>
      <w:r w:rsidRPr="00AE0ED3">
        <w:rPr>
          <w:rFonts w:ascii="Times New Roman" w:hAnsi="Times New Roman"/>
          <w:i/>
          <w:iCs/>
          <w:sz w:val="20"/>
        </w:rPr>
        <w:t>Ante-Nicene Fathers</w:t>
      </w:r>
      <w:r w:rsidRPr="00AE0ED3">
        <w:rPr>
          <w:rFonts w:ascii="Times New Roman" w:hAnsi="Times New Roman"/>
          <w:sz w:val="20"/>
        </w:rPr>
        <w:t>, t. 3, red. Alexander Roberts I Jacob Donaldson, Peabody 2004, s. 547</w:t>
      </w:r>
      <w:r w:rsidRPr="00AE0ED3">
        <w:rPr>
          <w:rFonts w:ascii="Times New Roman" w:hAnsi="Times New Roman"/>
          <w:bCs/>
          <w:sz w:val="20"/>
        </w:rPr>
        <w:t>).</w:t>
      </w:r>
    </w:p>
    <w:p w14:paraId="09F95B7C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Oscar Cullmann nie zgadza się z poglądem Tertuliana. Cullmann napisał poczytną książkę, w której dowodzi, że idea ludzkiej nieśmiertelności ma greckie pochodzenie, a teolodzy muszą się na coś zdecydować - albo nieśmiertelna dusza, albo nieśmiertelność jako dar Boży przy zmartwychwstaniu (</w:t>
      </w:r>
      <w:r w:rsidRPr="00AE0ED3">
        <w:rPr>
          <w:rFonts w:ascii="Times New Roman" w:hAnsi="Times New Roman"/>
          <w:sz w:val="20"/>
        </w:rPr>
        <w:t xml:space="preserve">Oscar Cullmann, </w:t>
      </w:r>
      <w:r w:rsidRPr="00AE0ED3">
        <w:rPr>
          <w:rFonts w:ascii="Times New Roman" w:hAnsi="Times New Roman"/>
          <w:i/>
          <w:iCs/>
          <w:sz w:val="20"/>
        </w:rPr>
        <w:t>Immortality of the Soul or Resurrection of the Dead? The Witness of the New Testament</w:t>
      </w:r>
      <w:r w:rsidRPr="00AE0ED3">
        <w:rPr>
          <w:rFonts w:ascii="Times New Roman" w:hAnsi="Times New Roman"/>
          <w:sz w:val="20"/>
        </w:rPr>
        <w:t>, Nowy Jork 1958</w:t>
      </w:r>
      <w:r w:rsidRPr="00AE0ED3">
        <w:rPr>
          <w:rFonts w:ascii="Times New Roman" w:hAnsi="Times New Roman"/>
          <w:bCs/>
          <w:sz w:val="20"/>
        </w:rPr>
        <w:t>).</w:t>
      </w:r>
    </w:p>
    <w:p w14:paraId="3E376B61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„Od dawna wiadomo, że według </w:t>
      </w:r>
      <w:r w:rsidRPr="00AE0ED3">
        <w:rPr>
          <w:rFonts w:ascii="Times New Roman" w:hAnsi="Times New Roman"/>
          <w:bCs/>
          <w:i/>
          <w:iCs/>
          <w:sz w:val="20"/>
        </w:rPr>
        <w:t>Starego Testamentu</w:t>
      </w:r>
      <w:r w:rsidRPr="00AE0ED3">
        <w:rPr>
          <w:rFonts w:ascii="Times New Roman" w:hAnsi="Times New Roman"/>
          <w:bCs/>
          <w:sz w:val="20"/>
        </w:rPr>
        <w:t xml:space="preserve"> człowiek nie </w:t>
      </w:r>
      <w:r w:rsidRPr="00AE0ED3">
        <w:rPr>
          <w:rFonts w:ascii="Times New Roman" w:hAnsi="Times New Roman"/>
          <w:bCs/>
          <w:i/>
          <w:iCs/>
          <w:sz w:val="20"/>
        </w:rPr>
        <w:t>ma</w:t>
      </w:r>
      <w:r w:rsidRPr="00AE0ED3">
        <w:rPr>
          <w:rFonts w:ascii="Times New Roman" w:hAnsi="Times New Roman"/>
          <w:bCs/>
          <w:sz w:val="20"/>
        </w:rPr>
        <w:t xml:space="preserve"> duszy, ale </w:t>
      </w:r>
      <w:r w:rsidRPr="00AE0ED3">
        <w:rPr>
          <w:rFonts w:ascii="Times New Roman" w:hAnsi="Times New Roman"/>
          <w:bCs/>
          <w:i/>
          <w:iCs/>
          <w:sz w:val="20"/>
        </w:rPr>
        <w:t>jest</w:t>
      </w:r>
      <w:r w:rsidRPr="00AE0ED3">
        <w:rPr>
          <w:rFonts w:ascii="Times New Roman" w:hAnsi="Times New Roman"/>
          <w:bCs/>
          <w:sz w:val="20"/>
        </w:rPr>
        <w:t xml:space="preserve"> duszą </w:t>
      </w:r>
      <w:r w:rsidRPr="00AE0ED3">
        <w:rPr>
          <w:rFonts w:ascii="Times New Roman" w:hAnsi="Times New Roman"/>
          <w:sz w:val="20"/>
        </w:rPr>
        <w:t>(Rdz 2,7). To znaczy, że jest spójną całością, a nie konglomeratem ciała, duszy i ducha</w:t>
      </w:r>
      <w:r w:rsidRPr="00AE0ED3">
        <w:rPr>
          <w:rFonts w:ascii="Times New Roman" w:hAnsi="Times New Roman"/>
          <w:bCs/>
          <w:sz w:val="20"/>
        </w:rPr>
        <w:t>” (</w:t>
      </w:r>
      <w:r w:rsidRPr="00AE0ED3">
        <w:rPr>
          <w:rFonts w:ascii="Times New Roman" w:hAnsi="Times New Roman"/>
          <w:sz w:val="20"/>
        </w:rPr>
        <w:t xml:space="preserve">Brevard S. Childs, </w:t>
      </w:r>
      <w:r w:rsidRPr="00AE0ED3">
        <w:rPr>
          <w:rFonts w:ascii="Times New Roman" w:hAnsi="Times New Roman"/>
          <w:i/>
          <w:iCs/>
          <w:sz w:val="20"/>
        </w:rPr>
        <w:t>Old Testament Theology in a Canonical Context</w:t>
      </w:r>
      <w:r w:rsidRPr="00AE0ED3">
        <w:rPr>
          <w:rFonts w:ascii="Times New Roman" w:hAnsi="Times New Roman"/>
          <w:sz w:val="20"/>
        </w:rPr>
        <w:t>, Filadelfia 1985, s. 199</w:t>
      </w:r>
      <w:r w:rsidRPr="00AE0ED3">
        <w:rPr>
          <w:rFonts w:ascii="Times New Roman" w:hAnsi="Times New Roman"/>
          <w:bCs/>
          <w:sz w:val="20"/>
        </w:rPr>
        <w:t>).</w:t>
      </w:r>
    </w:p>
    <w:p w14:paraId="6F1F3F14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Niektórzy bibliści usiłują bronić poglądu o życiu po śmierci, odwołując się jedynie do zdrowego rozsądku, jako że nie znajdują biblijnego świadectwa na jego poparcie. Oto przykład: „</w:t>
      </w:r>
      <w:r w:rsidRPr="00AE0ED3">
        <w:rPr>
          <w:rFonts w:ascii="Times New Roman" w:hAnsi="Times New Roman"/>
          <w:bCs/>
          <w:i/>
          <w:iCs/>
          <w:sz w:val="20"/>
        </w:rPr>
        <w:t>Pismo Święte</w:t>
      </w:r>
      <w:r w:rsidRPr="00AE0ED3">
        <w:rPr>
          <w:rFonts w:ascii="Times New Roman" w:hAnsi="Times New Roman"/>
          <w:bCs/>
          <w:sz w:val="20"/>
        </w:rPr>
        <w:t xml:space="preserve"> jako takie nie uczy o istnieniu duszy. Zakłada jedynie jej istnienie, gdyż potwierdza je zdrowy rozsądek zwykłych ludzi” (</w:t>
      </w:r>
      <w:r w:rsidRPr="00AE0ED3">
        <w:rPr>
          <w:rFonts w:ascii="Times New Roman" w:hAnsi="Times New Roman"/>
          <w:sz w:val="20"/>
        </w:rPr>
        <w:t>Stewart Goetz, „A Substance Dualist Response”, w: </w:t>
      </w:r>
      <w:r w:rsidRPr="00AE0ED3">
        <w:rPr>
          <w:rFonts w:ascii="Times New Roman" w:hAnsi="Times New Roman"/>
          <w:i/>
          <w:iCs/>
          <w:sz w:val="20"/>
        </w:rPr>
        <w:t>In Search of the Soul: Perspectives on the Mind-Body Problem—Four Views of the Mind-Body Problem</w:t>
      </w:r>
      <w:r w:rsidRPr="00AE0ED3">
        <w:rPr>
          <w:rFonts w:ascii="Times New Roman" w:hAnsi="Times New Roman"/>
          <w:sz w:val="20"/>
        </w:rPr>
        <w:t>, red. Joel B. Green, wyd. 2, Eugene 2010, s. 139</w:t>
      </w:r>
      <w:r w:rsidRPr="00AE0ED3">
        <w:rPr>
          <w:rFonts w:ascii="Times New Roman" w:hAnsi="Times New Roman"/>
          <w:bCs/>
          <w:sz w:val="20"/>
        </w:rPr>
        <w:t>). Okazuje się, że „zdrowy rozsądek” może być bardzo zwodniczy.</w:t>
      </w:r>
    </w:p>
    <w:p w14:paraId="1CC3D01D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</w:p>
    <w:p w14:paraId="6296A8E3" w14:textId="77777777" w:rsidR="00313E01" w:rsidRDefault="00313E01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1F13A71A" w14:textId="48D9F464" w:rsidR="003A0F39" w:rsidRDefault="003A0F39" w:rsidP="003A0F39">
      <w:pPr>
        <w:rPr>
          <w:rFonts w:ascii="Times New Roman" w:hAnsi="Times New Roman"/>
          <w:b/>
          <w:sz w:val="20"/>
        </w:rPr>
      </w:pPr>
      <w:r w:rsidRPr="00AE0ED3">
        <w:rPr>
          <w:rFonts w:ascii="Times New Roman" w:hAnsi="Times New Roman"/>
          <w:b/>
          <w:sz w:val="20"/>
        </w:rPr>
        <w:lastRenderedPageBreak/>
        <w:t>Dar życia wiecznego</w:t>
      </w:r>
    </w:p>
    <w:p w14:paraId="6C8177B1" w14:textId="77777777" w:rsidR="00313E01" w:rsidRPr="00AE0ED3" w:rsidRDefault="00313E01" w:rsidP="003A0F39">
      <w:pPr>
        <w:rPr>
          <w:rFonts w:ascii="Times New Roman" w:hAnsi="Times New Roman"/>
          <w:bCs/>
          <w:sz w:val="20"/>
        </w:rPr>
      </w:pPr>
    </w:p>
    <w:p w14:paraId="4FFE5D9F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Życie wieczne jest darem Boga dla tych, którzy wierzą w Jezusa Chrystusa jako swojego Zbawiciela </w:t>
      </w:r>
      <w:r w:rsidRPr="00AE0ED3">
        <w:rPr>
          <w:rFonts w:ascii="Times New Roman" w:hAnsi="Times New Roman"/>
          <w:iCs/>
          <w:sz w:val="20"/>
        </w:rPr>
        <w:t>(J 3,16; 5,24-25; 10,27-28; 17,3; Rz 2,7; 6,22-23; Ga 6,8)</w:t>
      </w:r>
      <w:r w:rsidRPr="00AE0ED3">
        <w:rPr>
          <w:rFonts w:ascii="Times New Roman" w:hAnsi="Times New Roman"/>
          <w:bCs/>
          <w:sz w:val="20"/>
        </w:rPr>
        <w:t xml:space="preserve">. Nieśmiertelność jest warunkowa i zależy od naszej pozytywnej odpowiedzi na dobroć Boga oraz naszego przyjęcia ewangelii. Taka nieśmiertelność zostanie dana wierzącym w dniu powtórnego przyjścia Chrystusa </w:t>
      </w:r>
      <w:r w:rsidRPr="00AE0ED3">
        <w:rPr>
          <w:rFonts w:ascii="Times New Roman" w:hAnsi="Times New Roman"/>
          <w:iCs/>
          <w:sz w:val="20"/>
        </w:rPr>
        <w:t>(1 Kor 15,51-55; 1 Tes 4,13-18)</w:t>
      </w:r>
      <w:r w:rsidRPr="00AE0ED3">
        <w:rPr>
          <w:rFonts w:ascii="Times New Roman" w:hAnsi="Times New Roman"/>
          <w:bCs/>
          <w:sz w:val="20"/>
        </w:rPr>
        <w:t>.</w:t>
      </w:r>
    </w:p>
    <w:p w14:paraId="6C5A7A0C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</w:p>
    <w:p w14:paraId="6608FDAB" w14:textId="3DD9B990" w:rsidR="003A0F39" w:rsidRDefault="003A0F39" w:rsidP="003A0F39">
      <w:pPr>
        <w:rPr>
          <w:rFonts w:ascii="Times New Roman" w:hAnsi="Times New Roman"/>
          <w:b/>
          <w:sz w:val="20"/>
        </w:rPr>
      </w:pPr>
      <w:r w:rsidRPr="00AE0ED3">
        <w:rPr>
          <w:rFonts w:ascii="Times New Roman" w:hAnsi="Times New Roman"/>
          <w:b/>
          <w:sz w:val="20"/>
        </w:rPr>
        <w:t>Część III: Zastosowanie</w:t>
      </w:r>
    </w:p>
    <w:p w14:paraId="64B09151" w14:textId="77777777" w:rsidR="00313E01" w:rsidRPr="00AE0ED3" w:rsidRDefault="00313E01" w:rsidP="003A0F39">
      <w:pPr>
        <w:rPr>
          <w:rFonts w:ascii="Times New Roman" w:hAnsi="Times New Roman"/>
          <w:sz w:val="20"/>
        </w:rPr>
      </w:pPr>
    </w:p>
    <w:p w14:paraId="01F864C3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1. Co znaczy z punktu widzenia więzi i natury rzeczy być stworzonym na obraz Boga?</w:t>
      </w:r>
    </w:p>
    <w:p w14:paraId="313E45F0" w14:textId="449AFF84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2. Jedynie Chrystus przez swoją łaskę, Ducha Świętego i Słowo Boże może odrodzić obraz Boga w</w:t>
      </w:r>
      <w:r w:rsidR="00313E01">
        <w:rPr>
          <w:rFonts w:ascii="Times New Roman" w:hAnsi="Times New Roman"/>
          <w:bCs/>
          <w:sz w:val="20"/>
        </w:rPr>
        <w:t> </w:t>
      </w:r>
      <w:r w:rsidRPr="00AE0ED3">
        <w:rPr>
          <w:rFonts w:ascii="Times New Roman" w:hAnsi="Times New Roman"/>
          <w:bCs/>
          <w:sz w:val="20"/>
        </w:rPr>
        <w:t>człowieku. Jak możesz żyć jako człowiek stworzony na obraz Boga?</w:t>
      </w:r>
    </w:p>
    <w:p w14:paraId="3D0DCB67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>3. Skoro zostaliśmy stworzeni jako śmiertelni, nie mając nieśmiertelnej duszy, wyjaśnij, jak możemy żyć wiecznie.</w:t>
      </w:r>
    </w:p>
    <w:p w14:paraId="5540F646" w14:textId="77777777" w:rsidR="003A0F39" w:rsidRPr="00AE0ED3" w:rsidRDefault="003A0F39" w:rsidP="003A0F39">
      <w:pPr>
        <w:rPr>
          <w:rFonts w:ascii="Times New Roman" w:hAnsi="Times New Roman"/>
          <w:bCs/>
          <w:sz w:val="20"/>
        </w:rPr>
      </w:pPr>
      <w:r w:rsidRPr="00AE0ED3">
        <w:rPr>
          <w:rFonts w:ascii="Times New Roman" w:hAnsi="Times New Roman"/>
          <w:bCs/>
          <w:sz w:val="20"/>
        </w:rPr>
        <w:t xml:space="preserve">4. Bóg umieścił w sercach ludzi pragnienie wiecznego życia </w:t>
      </w:r>
      <w:r w:rsidRPr="00AE0ED3">
        <w:rPr>
          <w:rFonts w:ascii="Times New Roman" w:hAnsi="Times New Roman"/>
          <w:iCs/>
          <w:sz w:val="20"/>
        </w:rPr>
        <w:t>(Koh 3,11)</w:t>
      </w:r>
      <w:r w:rsidRPr="00AE0ED3">
        <w:rPr>
          <w:rFonts w:ascii="Times New Roman" w:hAnsi="Times New Roman"/>
          <w:bCs/>
          <w:sz w:val="20"/>
        </w:rPr>
        <w:t>. Jak możesz pomóc swoim postępowaniem i słowami wzbudzić to pragnienie w sercu agnostyka czy ateisty?</w:t>
      </w:r>
    </w:p>
    <w:p w14:paraId="0BC7ABD0" w14:textId="03FAFA9E" w:rsidR="00CD39F3" w:rsidRPr="00773E48" w:rsidRDefault="00CD39F3" w:rsidP="003A0F39">
      <w:pPr>
        <w:rPr>
          <w:rFonts w:ascii="Times New Roman" w:eastAsiaTheme="minorHAnsi" w:hAnsi="Times New Roman"/>
          <w:bCs/>
          <w:sz w:val="20"/>
          <w:lang w:eastAsia="en-US"/>
        </w:rPr>
      </w:pPr>
    </w:p>
    <w:sectPr w:rsidR="00CD39F3" w:rsidRPr="00773E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1E6E4" w14:textId="77777777" w:rsidR="00CD0686" w:rsidRDefault="00CD0686" w:rsidP="00A820C9">
      <w:r>
        <w:separator/>
      </w:r>
    </w:p>
  </w:endnote>
  <w:endnote w:type="continuationSeparator" w:id="0">
    <w:p w14:paraId="5F158529" w14:textId="77777777" w:rsidR="00CD0686" w:rsidRDefault="00CD0686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EB5B2" w14:textId="77777777" w:rsidR="00CD0686" w:rsidRDefault="00CD0686" w:rsidP="00A820C9">
      <w:r>
        <w:separator/>
      </w:r>
    </w:p>
  </w:footnote>
  <w:footnote w:type="continuationSeparator" w:id="0">
    <w:p w14:paraId="7DD3B46F" w14:textId="77777777" w:rsidR="00CD0686" w:rsidRDefault="00CD0686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54356" w14:textId="6EF75F97" w:rsidR="00203AFA" w:rsidRPr="00203AFA" w:rsidRDefault="00B2361E" w:rsidP="00203AFA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C92F76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6F3FE7">
      <w:rPr>
        <w:rFonts w:ascii="Times New Roman" w:eastAsia="MS PMincho" w:hAnsi="Times New Roman"/>
        <w:sz w:val="16"/>
        <w:szCs w:val="16"/>
      </w:rPr>
      <w:t>2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C92F76">
      <w:rPr>
        <w:rFonts w:ascii="Times New Roman" w:hAnsi="Times New Roman"/>
        <w:sz w:val="16"/>
        <w:szCs w:val="16"/>
      </w:rPr>
      <w:t>Alberto R. Timm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C92F76">
      <w:rPr>
        <w:rFonts w:ascii="Times New Roman" w:hAnsi="Times New Roman"/>
        <w:i/>
        <w:iCs/>
        <w:sz w:val="16"/>
        <w:szCs w:val="16"/>
      </w:rPr>
      <w:t>O śmierci, umieraniu i przyszłej nadziei</w:t>
    </w:r>
  </w:p>
  <w:p w14:paraId="52E0B9EB" w14:textId="46139DB4" w:rsidR="00B2361E" w:rsidRPr="00B2361E" w:rsidRDefault="00B2361E" w:rsidP="00B2361E">
    <w:pPr>
      <w:rPr>
        <w:rFonts w:ascii="Times New Roman" w:hAnsi="Times New Roman"/>
        <w:i/>
        <w:iCs/>
        <w:sz w:val="16"/>
        <w:szCs w:val="16"/>
      </w:rPr>
    </w:pPr>
  </w:p>
  <w:p w14:paraId="172D6354" w14:textId="17F44495" w:rsidR="00D2777F" w:rsidRPr="00813468" w:rsidRDefault="00B2361E" w:rsidP="00D2777F">
    <w:pPr>
      <w:rPr>
        <w:rFonts w:ascii="Times New Roman" w:hAnsi="Times New Roman"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9B0D6B">
      <w:rPr>
        <w:rFonts w:ascii="Times New Roman" w:hAnsi="Times New Roman"/>
        <w:sz w:val="16"/>
        <w:szCs w:val="16"/>
      </w:rPr>
      <w:t xml:space="preserve"> </w:t>
    </w:r>
    <w:r w:rsidR="003A0F39">
      <w:rPr>
        <w:rFonts w:ascii="Times New Roman" w:hAnsi="Times New Roman"/>
        <w:sz w:val="16"/>
        <w:szCs w:val="16"/>
      </w:rPr>
      <w:t>3</w:t>
    </w:r>
    <w:r w:rsidR="00203AFA">
      <w:rPr>
        <w:rFonts w:ascii="Times New Roman" w:hAnsi="Times New Roman"/>
        <w:sz w:val="16"/>
        <w:szCs w:val="16"/>
      </w:rPr>
      <w:t xml:space="preserve">- </w:t>
    </w:r>
    <w:r w:rsidR="003A0F39">
      <w:rPr>
        <w:rFonts w:ascii="Times New Roman" w:hAnsi="Times New Roman"/>
        <w:bCs/>
        <w:sz w:val="16"/>
        <w:szCs w:val="16"/>
      </w:rPr>
      <w:t>Zrozumienie natury człowieka</w:t>
    </w:r>
    <w:r w:rsidR="00C92F76">
      <w:rPr>
        <w:rFonts w:ascii="Times New Roman" w:hAnsi="Times New Roman"/>
        <w:bCs/>
        <w:sz w:val="16"/>
        <w:szCs w:val="16"/>
      </w:rPr>
      <w:t xml:space="preserve"> </w:t>
    </w: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F5E"/>
    <w:rsid w:val="00006FBF"/>
    <w:rsid w:val="0002114D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71A8E"/>
    <w:rsid w:val="00071DD3"/>
    <w:rsid w:val="00073013"/>
    <w:rsid w:val="000803E0"/>
    <w:rsid w:val="0008053E"/>
    <w:rsid w:val="00080D7F"/>
    <w:rsid w:val="00084D07"/>
    <w:rsid w:val="0009014F"/>
    <w:rsid w:val="00093EE9"/>
    <w:rsid w:val="00095BF6"/>
    <w:rsid w:val="00097610"/>
    <w:rsid w:val="000A1890"/>
    <w:rsid w:val="000A5E76"/>
    <w:rsid w:val="000A7CAE"/>
    <w:rsid w:val="000B4665"/>
    <w:rsid w:val="000C39FA"/>
    <w:rsid w:val="000C43D8"/>
    <w:rsid w:val="000D0B43"/>
    <w:rsid w:val="000D3669"/>
    <w:rsid w:val="000D704C"/>
    <w:rsid w:val="000E37F9"/>
    <w:rsid w:val="000E3D8C"/>
    <w:rsid w:val="000F4D2C"/>
    <w:rsid w:val="0010237B"/>
    <w:rsid w:val="001112C7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FC0"/>
    <w:rsid w:val="00186AB2"/>
    <w:rsid w:val="001900C2"/>
    <w:rsid w:val="00191138"/>
    <w:rsid w:val="00192589"/>
    <w:rsid w:val="001A14AD"/>
    <w:rsid w:val="001A64A1"/>
    <w:rsid w:val="001A762A"/>
    <w:rsid w:val="001B6CB1"/>
    <w:rsid w:val="001C3DCA"/>
    <w:rsid w:val="001C7F11"/>
    <w:rsid w:val="001D207D"/>
    <w:rsid w:val="001E3960"/>
    <w:rsid w:val="001F3AB8"/>
    <w:rsid w:val="00202B4E"/>
    <w:rsid w:val="00203AFA"/>
    <w:rsid w:val="00207A60"/>
    <w:rsid w:val="00211923"/>
    <w:rsid w:val="00212D47"/>
    <w:rsid w:val="002215B7"/>
    <w:rsid w:val="0024201E"/>
    <w:rsid w:val="002426C3"/>
    <w:rsid w:val="00243314"/>
    <w:rsid w:val="002477AE"/>
    <w:rsid w:val="00247ECF"/>
    <w:rsid w:val="00252375"/>
    <w:rsid w:val="00256C0B"/>
    <w:rsid w:val="00262338"/>
    <w:rsid w:val="00262399"/>
    <w:rsid w:val="002646E2"/>
    <w:rsid w:val="002666F2"/>
    <w:rsid w:val="00267AD9"/>
    <w:rsid w:val="0027003D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744"/>
    <w:rsid w:val="002B7FC3"/>
    <w:rsid w:val="002C1A03"/>
    <w:rsid w:val="002C4FFF"/>
    <w:rsid w:val="002D1C21"/>
    <w:rsid w:val="002D3EDC"/>
    <w:rsid w:val="002F38CF"/>
    <w:rsid w:val="002F7A06"/>
    <w:rsid w:val="00300F15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77B16"/>
    <w:rsid w:val="00386DF1"/>
    <w:rsid w:val="00394C88"/>
    <w:rsid w:val="003A03DD"/>
    <w:rsid w:val="003A048A"/>
    <w:rsid w:val="003A0F39"/>
    <w:rsid w:val="003A1217"/>
    <w:rsid w:val="003A4695"/>
    <w:rsid w:val="003B032F"/>
    <w:rsid w:val="003B30B7"/>
    <w:rsid w:val="003B7F2E"/>
    <w:rsid w:val="003C11EC"/>
    <w:rsid w:val="003C5237"/>
    <w:rsid w:val="003C5A40"/>
    <w:rsid w:val="003D1F71"/>
    <w:rsid w:val="003D35FF"/>
    <w:rsid w:val="003E38DE"/>
    <w:rsid w:val="003E3A74"/>
    <w:rsid w:val="003E5187"/>
    <w:rsid w:val="003E5816"/>
    <w:rsid w:val="003E58B7"/>
    <w:rsid w:val="003E67C5"/>
    <w:rsid w:val="00404868"/>
    <w:rsid w:val="00411F03"/>
    <w:rsid w:val="00416C57"/>
    <w:rsid w:val="00422C48"/>
    <w:rsid w:val="00430F8E"/>
    <w:rsid w:val="004329D1"/>
    <w:rsid w:val="0043366A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2556"/>
    <w:rsid w:val="004848E7"/>
    <w:rsid w:val="00497AC0"/>
    <w:rsid w:val="004A07EB"/>
    <w:rsid w:val="004A1334"/>
    <w:rsid w:val="004A1F71"/>
    <w:rsid w:val="004A3508"/>
    <w:rsid w:val="004A68C6"/>
    <w:rsid w:val="004B48A7"/>
    <w:rsid w:val="004B532A"/>
    <w:rsid w:val="004B6D09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12C47"/>
    <w:rsid w:val="005205E4"/>
    <w:rsid w:val="00521F52"/>
    <w:rsid w:val="00535F72"/>
    <w:rsid w:val="00542986"/>
    <w:rsid w:val="00544549"/>
    <w:rsid w:val="005449EA"/>
    <w:rsid w:val="00545A28"/>
    <w:rsid w:val="00547F5F"/>
    <w:rsid w:val="005537F3"/>
    <w:rsid w:val="005538E5"/>
    <w:rsid w:val="005548FA"/>
    <w:rsid w:val="0055562E"/>
    <w:rsid w:val="005675D2"/>
    <w:rsid w:val="0058262E"/>
    <w:rsid w:val="0058291A"/>
    <w:rsid w:val="0058625A"/>
    <w:rsid w:val="00597FD2"/>
    <w:rsid w:val="005A1543"/>
    <w:rsid w:val="005A2815"/>
    <w:rsid w:val="005A45AA"/>
    <w:rsid w:val="005B1BDE"/>
    <w:rsid w:val="005B5CE3"/>
    <w:rsid w:val="005C0E8B"/>
    <w:rsid w:val="005C7E3B"/>
    <w:rsid w:val="005D533A"/>
    <w:rsid w:val="005D58BF"/>
    <w:rsid w:val="005D7BEF"/>
    <w:rsid w:val="005E01EF"/>
    <w:rsid w:val="005E15DD"/>
    <w:rsid w:val="005F1934"/>
    <w:rsid w:val="005F2CF5"/>
    <w:rsid w:val="005F4946"/>
    <w:rsid w:val="005F5068"/>
    <w:rsid w:val="00602B6F"/>
    <w:rsid w:val="00614445"/>
    <w:rsid w:val="00615FE6"/>
    <w:rsid w:val="00617CBE"/>
    <w:rsid w:val="006237C5"/>
    <w:rsid w:val="006254DA"/>
    <w:rsid w:val="00632A41"/>
    <w:rsid w:val="0063445E"/>
    <w:rsid w:val="00637276"/>
    <w:rsid w:val="00646C71"/>
    <w:rsid w:val="0066123D"/>
    <w:rsid w:val="006624AC"/>
    <w:rsid w:val="0066463A"/>
    <w:rsid w:val="006657A7"/>
    <w:rsid w:val="00666851"/>
    <w:rsid w:val="00673C79"/>
    <w:rsid w:val="00680F75"/>
    <w:rsid w:val="00685F14"/>
    <w:rsid w:val="00690562"/>
    <w:rsid w:val="00691DF0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3510"/>
    <w:rsid w:val="006C423D"/>
    <w:rsid w:val="006D05BE"/>
    <w:rsid w:val="006E44CF"/>
    <w:rsid w:val="006E5C3B"/>
    <w:rsid w:val="006E7DE4"/>
    <w:rsid w:val="006F2FFB"/>
    <w:rsid w:val="006F3FE7"/>
    <w:rsid w:val="0071208E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525B"/>
    <w:rsid w:val="00776C42"/>
    <w:rsid w:val="007812DA"/>
    <w:rsid w:val="00785516"/>
    <w:rsid w:val="007903E8"/>
    <w:rsid w:val="007934DA"/>
    <w:rsid w:val="0079785B"/>
    <w:rsid w:val="007B180A"/>
    <w:rsid w:val="007B67F4"/>
    <w:rsid w:val="007C0F83"/>
    <w:rsid w:val="007C6037"/>
    <w:rsid w:val="007C7311"/>
    <w:rsid w:val="007D0F98"/>
    <w:rsid w:val="007E2A1C"/>
    <w:rsid w:val="007E39EB"/>
    <w:rsid w:val="007E4C17"/>
    <w:rsid w:val="007F2BD7"/>
    <w:rsid w:val="0081514B"/>
    <w:rsid w:val="008202AD"/>
    <w:rsid w:val="00833A91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312A"/>
    <w:rsid w:val="00883CE6"/>
    <w:rsid w:val="00897134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5DB1"/>
    <w:rsid w:val="008E0114"/>
    <w:rsid w:val="008E1633"/>
    <w:rsid w:val="008E63CB"/>
    <w:rsid w:val="009039D9"/>
    <w:rsid w:val="00903AB3"/>
    <w:rsid w:val="00904615"/>
    <w:rsid w:val="00910645"/>
    <w:rsid w:val="009124E5"/>
    <w:rsid w:val="0091425C"/>
    <w:rsid w:val="0091548D"/>
    <w:rsid w:val="00926046"/>
    <w:rsid w:val="00933C8E"/>
    <w:rsid w:val="00934141"/>
    <w:rsid w:val="00935E1F"/>
    <w:rsid w:val="009378A8"/>
    <w:rsid w:val="00947D49"/>
    <w:rsid w:val="00971A12"/>
    <w:rsid w:val="00974B48"/>
    <w:rsid w:val="0097572F"/>
    <w:rsid w:val="00980C54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AA6"/>
    <w:rsid w:val="00A372AD"/>
    <w:rsid w:val="00A37509"/>
    <w:rsid w:val="00A41678"/>
    <w:rsid w:val="00A45D17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74E6"/>
    <w:rsid w:val="00A9798E"/>
    <w:rsid w:val="00A97ECA"/>
    <w:rsid w:val="00AA0514"/>
    <w:rsid w:val="00AA28FC"/>
    <w:rsid w:val="00AA336A"/>
    <w:rsid w:val="00AA4615"/>
    <w:rsid w:val="00AB03A5"/>
    <w:rsid w:val="00AB0726"/>
    <w:rsid w:val="00AB1225"/>
    <w:rsid w:val="00AB1F16"/>
    <w:rsid w:val="00AB40C3"/>
    <w:rsid w:val="00AB5D63"/>
    <w:rsid w:val="00AB6768"/>
    <w:rsid w:val="00AC3205"/>
    <w:rsid w:val="00AD058E"/>
    <w:rsid w:val="00AD4D5B"/>
    <w:rsid w:val="00AD7194"/>
    <w:rsid w:val="00AE5A7A"/>
    <w:rsid w:val="00AE5A8E"/>
    <w:rsid w:val="00B0225B"/>
    <w:rsid w:val="00B03B2B"/>
    <w:rsid w:val="00B07460"/>
    <w:rsid w:val="00B12BA8"/>
    <w:rsid w:val="00B179CE"/>
    <w:rsid w:val="00B2361E"/>
    <w:rsid w:val="00B244DF"/>
    <w:rsid w:val="00B27439"/>
    <w:rsid w:val="00B306C0"/>
    <w:rsid w:val="00B30841"/>
    <w:rsid w:val="00B31A94"/>
    <w:rsid w:val="00B32C6C"/>
    <w:rsid w:val="00B42BF8"/>
    <w:rsid w:val="00B470F9"/>
    <w:rsid w:val="00B5045B"/>
    <w:rsid w:val="00B5278F"/>
    <w:rsid w:val="00B53BCA"/>
    <w:rsid w:val="00B60235"/>
    <w:rsid w:val="00B608AC"/>
    <w:rsid w:val="00B60B00"/>
    <w:rsid w:val="00B67684"/>
    <w:rsid w:val="00B70608"/>
    <w:rsid w:val="00B9066D"/>
    <w:rsid w:val="00B90CB9"/>
    <w:rsid w:val="00B91A58"/>
    <w:rsid w:val="00B92FEE"/>
    <w:rsid w:val="00B941C8"/>
    <w:rsid w:val="00BA1F8B"/>
    <w:rsid w:val="00BA48CF"/>
    <w:rsid w:val="00BA4C89"/>
    <w:rsid w:val="00BA5879"/>
    <w:rsid w:val="00BA7EDD"/>
    <w:rsid w:val="00BC6CC7"/>
    <w:rsid w:val="00BC756F"/>
    <w:rsid w:val="00BD0104"/>
    <w:rsid w:val="00BD3F60"/>
    <w:rsid w:val="00BD5317"/>
    <w:rsid w:val="00BD6674"/>
    <w:rsid w:val="00BE0E82"/>
    <w:rsid w:val="00BE1627"/>
    <w:rsid w:val="00BE5836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61B5B"/>
    <w:rsid w:val="00C67C1F"/>
    <w:rsid w:val="00C711AB"/>
    <w:rsid w:val="00C76D9B"/>
    <w:rsid w:val="00C83D3B"/>
    <w:rsid w:val="00C851EF"/>
    <w:rsid w:val="00C85D32"/>
    <w:rsid w:val="00C92F76"/>
    <w:rsid w:val="00C93192"/>
    <w:rsid w:val="00CA1F88"/>
    <w:rsid w:val="00CB2110"/>
    <w:rsid w:val="00CB286C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CCE"/>
    <w:rsid w:val="00CF2F3B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60C5"/>
    <w:rsid w:val="00D5040D"/>
    <w:rsid w:val="00D5746C"/>
    <w:rsid w:val="00D649BF"/>
    <w:rsid w:val="00D67231"/>
    <w:rsid w:val="00D7222D"/>
    <w:rsid w:val="00D746F4"/>
    <w:rsid w:val="00D92CA4"/>
    <w:rsid w:val="00DA421C"/>
    <w:rsid w:val="00DB2CB9"/>
    <w:rsid w:val="00DB4758"/>
    <w:rsid w:val="00DB7651"/>
    <w:rsid w:val="00DC750C"/>
    <w:rsid w:val="00DC7A32"/>
    <w:rsid w:val="00DD10BF"/>
    <w:rsid w:val="00DD3DBD"/>
    <w:rsid w:val="00DD7EA6"/>
    <w:rsid w:val="00DE011A"/>
    <w:rsid w:val="00DE0B9C"/>
    <w:rsid w:val="00DE5AB9"/>
    <w:rsid w:val="00DF07F4"/>
    <w:rsid w:val="00DF1EA2"/>
    <w:rsid w:val="00E00CA0"/>
    <w:rsid w:val="00E024F6"/>
    <w:rsid w:val="00E03075"/>
    <w:rsid w:val="00E06F36"/>
    <w:rsid w:val="00E147E0"/>
    <w:rsid w:val="00E15431"/>
    <w:rsid w:val="00E23861"/>
    <w:rsid w:val="00E274A1"/>
    <w:rsid w:val="00E30B48"/>
    <w:rsid w:val="00E32868"/>
    <w:rsid w:val="00E366EF"/>
    <w:rsid w:val="00E57CF3"/>
    <w:rsid w:val="00E60CC8"/>
    <w:rsid w:val="00E70CA3"/>
    <w:rsid w:val="00E73131"/>
    <w:rsid w:val="00E74F52"/>
    <w:rsid w:val="00E7674E"/>
    <w:rsid w:val="00E8687A"/>
    <w:rsid w:val="00E86CB7"/>
    <w:rsid w:val="00E9016B"/>
    <w:rsid w:val="00E90F2D"/>
    <w:rsid w:val="00E9226C"/>
    <w:rsid w:val="00E932DD"/>
    <w:rsid w:val="00E95C9D"/>
    <w:rsid w:val="00EB1FDE"/>
    <w:rsid w:val="00EB34DD"/>
    <w:rsid w:val="00EC1ADB"/>
    <w:rsid w:val="00EF226A"/>
    <w:rsid w:val="00EF3E9E"/>
    <w:rsid w:val="00EF502C"/>
    <w:rsid w:val="00EF5B66"/>
    <w:rsid w:val="00F16117"/>
    <w:rsid w:val="00F16358"/>
    <w:rsid w:val="00F20160"/>
    <w:rsid w:val="00F21967"/>
    <w:rsid w:val="00F2397B"/>
    <w:rsid w:val="00F34F5E"/>
    <w:rsid w:val="00F40C65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EBE"/>
    <w:rsid w:val="00F96322"/>
    <w:rsid w:val="00FA07DB"/>
    <w:rsid w:val="00FB0002"/>
    <w:rsid w:val="00FB2430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1545</Words>
  <Characters>8641</Characters>
  <Application>Microsoft Office Word</Application>
  <DocSecurity>0</DocSecurity>
  <Lines>128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2021-01-27T17:24:00Z</cp:lastPrinted>
  <dcterms:created xsi:type="dcterms:W3CDTF">2022-09-18T15:45:00Z</dcterms:created>
  <dcterms:modified xsi:type="dcterms:W3CDTF">2022-09-18T15:52:00Z</dcterms:modified>
</cp:coreProperties>
</file>