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0C5" w:rsidRDefault="00A820C9" w:rsidP="00A820C9">
      <w:pPr>
        <w:ind w:firstLine="0"/>
        <w:rPr>
          <w:rFonts w:ascii="Times New Roman" w:hAnsi="Times New Roman"/>
          <w:sz w:val="20"/>
        </w:rPr>
      </w:pPr>
      <w:r w:rsidRPr="000E3D8C">
        <w:rPr>
          <w:rFonts w:ascii="Times New Roman" w:hAnsi="Times New Roman"/>
          <w:sz w:val="20"/>
        </w:rPr>
        <w:t xml:space="preserve"> Lekcja </w:t>
      </w:r>
      <w:r w:rsidR="0024201E">
        <w:rPr>
          <w:rFonts w:ascii="Times New Roman" w:hAnsi="Times New Roman"/>
          <w:sz w:val="20"/>
        </w:rPr>
        <w:t>9</w:t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Pr="000E3D8C">
        <w:rPr>
          <w:rFonts w:ascii="Times New Roman" w:hAnsi="Times New Roman"/>
          <w:sz w:val="20"/>
        </w:rPr>
        <w:tab/>
      </w:r>
      <w:r w:rsidR="002F7A06" w:rsidRPr="000E3D8C">
        <w:rPr>
          <w:rFonts w:ascii="Times New Roman" w:hAnsi="Times New Roman"/>
          <w:sz w:val="20"/>
        </w:rPr>
        <w:tab/>
      </w:r>
      <w:r w:rsidR="004B532A">
        <w:rPr>
          <w:rFonts w:ascii="Times New Roman" w:hAnsi="Times New Roman"/>
          <w:sz w:val="20"/>
        </w:rPr>
        <w:t>2</w:t>
      </w:r>
      <w:r w:rsidR="0024201E">
        <w:rPr>
          <w:rFonts w:ascii="Times New Roman" w:hAnsi="Times New Roman"/>
          <w:sz w:val="20"/>
        </w:rPr>
        <w:t>7</w:t>
      </w:r>
      <w:r w:rsidR="00F40C65">
        <w:rPr>
          <w:rFonts w:ascii="Times New Roman" w:hAnsi="Times New Roman"/>
          <w:sz w:val="20"/>
        </w:rPr>
        <w:t xml:space="preserve"> lutego</w:t>
      </w:r>
      <w:r w:rsidR="00E86CB7">
        <w:rPr>
          <w:rFonts w:ascii="Times New Roman" w:hAnsi="Times New Roman"/>
          <w:sz w:val="20"/>
        </w:rPr>
        <w:t xml:space="preserve"> </w:t>
      </w:r>
      <w:r w:rsidR="00C045AF">
        <w:rPr>
          <w:rFonts w:ascii="Times New Roman" w:hAnsi="Times New Roman"/>
          <w:sz w:val="20"/>
        </w:rPr>
        <w:t xml:space="preserve"> </w:t>
      </w:r>
    </w:p>
    <w:p w:rsidR="00A820C9" w:rsidRDefault="00F47047" w:rsidP="00A820C9">
      <w:pPr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:rsidR="00A22AA7" w:rsidRPr="00E86CB7" w:rsidRDefault="00A22AA7" w:rsidP="00E86CB7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E86CB7" w:rsidRPr="00E86CB7" w:rsidRDefault="0024201E" w:rsidP="00262399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Służyć i zbawiać</w:t>
      </w: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 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bCs/>
          <w:sz w:val="20"/>
        </w:rPr>
        <w:t xml:space="preserve">Przedmiot studium: </w:t>
      </w:r>
      <w:r w:rsidRPr="00EF6A2C">
        <w:rPr>
          <w:rFonts w:ascii="Times New Roman" w:hAnsi="Times New Roman"/>
          <w:iCs/>
          <w:sz w:val="20"/>
        </w:rPr>
        <w:t>Iz 41</w:t>
      </w:r>
      <w:r w:rsidRPr="00EF6A2C">
        <w:rPr>
          <w:rFonts w:ascii="Times New Roman" w:hAnsi="Times New Roman"/>
          <w:sz w:val="20"/>
        </w:rPr>
        <w:t>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bCs/>
          <w:sz w:val="20"/>
        </w:rPr>
        <w:t>Część I: Przegląd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0"/>
          <w:lang w:eastAsia="en-US"/>
        </w:rPr>
      </w:pPr>
      <w:r w:rsidRPr="00EF6A2C">
        <w:rPr>
          <w:rFonts w:ascii="Times New Roman" w:hAnsi="Times New Roman"/>
          <w:sz w:val="20"/>
        </w:rPr>
        <w:t>Istnieje wyraźne powiązanie między Iz 1 a Iz 41. Widzimy je w wezwaniu skierowanym do Judejczyków w Iz 1,18: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Chodźcie więc, a będziemy się prawować”. W Iz 41,1 jest zawarte podobne zaproszenie: „Stańmy do rozprawy!”. Jednak w tym przypadku wezwanie obejmuje szerszą scenę - „krańce ziemi” (w. 5) - a zatem dotyczy większego wydarzenia.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Wyrażenie </w:t>
      </w:r>
      <w:r w:rsidRPr="00EF6A2C">
        <w:rPr>
          <w:rFonts w:ascii="Times New Roman" w:hAnsi="Times New Roman"/>
          <w:i/>
          <w:iCs/>
          <w:sz w:val="20"/>
        </w:rPr>
        <w:t>mis</w:t>
      </w:r>
      <w:r w:rsidRPr="00EF6A2C">
        <w:rPr>
          <w:rFonts w:ascii="Times New Roman" w:eastAsia="Calibri" w:hAnsi="Times New Roman"/>
          <w:i/>
          <w:iCs/>
          <w:sz w:val="20"/>
        </w:rPr>
        <w:t>̌p̱āṭ</w:t>
      </w:r>
      <w:r w:rsidRPr="00EF6A2C">
        <w:rPr>
          <w:rFonts w:ascii="Times New Roman" w:hAnsi="Times New Roman"/>
          <w:sz w:val="20"/>
        </w:rPr>
        <w:t xml:space="preserve"> (sąd, Iz 41,1) w języku hebrajskim może także oznaczać „rozprawę”, „sprawę”, „pozew” (</w:t>
      </w:r>
      <w:r w:rsidRPr="00EF6A2C">
        <w:rPr>
          <w:rFonts w:ascii="Times New Roman" w:hAnsi="Times New Roman"/>
          <w:sz w:val="20"/>
          <w:lang w:val="en-GB"/>
        </w:rPr>
        <w:t xml:space="preserve">Ludwig Koehler i Walter Baumgartner, </w:t>
      </w:r>
      <w:r w:rsidRPr="00EF6A2C">
        <w:rPr>
          <w:rFonts w:ascii="Times New Roman" w:hAnsi="Times New Roman"/>
          <w:i/>
          <w:iCs/>
          <w:sz w:val="20"/>
          <w:lang w:val="en-GB"/>
        </w:rPr>
        <w:t>The Hebrew and Aramaic Lexicon of the Old Testament</w:t>
      </w:r>
      <w:r w:rsidRPr="00EF6A2C">
        <w:rPr>
          <w:rFonts w:ascii="Times New Roman" w:hAnsi="Times New Roman"/>
          <w:iCs/>
          <w:sz w:val="20"/>
          <w:lang w:val="en-GB"/>
        </w:rPr>
        <w:t>, t. </w:t>
      </w:r>
      <w:r w:rsidRPr="00EF6A2C">
        <w:rPr>
          <w:rFonts w:ascii="Times New Roman" w:hAnsi="Times New Roman"/>
          <w:sz w:val="20"/>
          <w:lang w:val="en-GB"/>
        </w:rPr>
        <w:t>2, s. 651</w:t>
      </w:r>
      <w:r w:rsidRPr="00EF6A2C">
        <w:rPr>
          <w:rFonts w:ascii="Times New Roman" w:hAnsi="Times New Roman"/>
          <w:sz w:val="20"/>
        </w:rPr>
        <w:t xml:space="preserve">). Pojęcie to jest dość podobne do znaczenia hebrajskiego słowa </w:t>
      </w:r>
      <w:r w:rsidRPr="00EF6A2C">
        <w:rPr>
          <w:rFonts w:ascii="Times New Roman" w:hAnsi="Times New Roman"/>
          <w:i/>
          <w:iCs/>
          <w:sz w:val="20"/>
        </w:rPr>
        <w:t>niww</w:t>
      </w:r>
      <w:r w:rsidRPr="00EF6A2C">
        <w:rPr>
          <w:rFonts w:ascii="Times New Roman" w:eastAsia="Calibri" w:hAnsi="Times New Roman"/>
          <w:i/>
          <w:iCs/>
          <w:sz w:val="20"/>
        </w:rPr>
        <w:t>āḵḥâ</w:t>
      </w:r>
      <w:r w:rsidRPr="00EF6A2C">
        <w:rPr>
          <w:rFonts w:ascii="Times New Roman" w:hAnsi="Times New Roman"/>
          <w:sz w:val="20"/>
        </w:rPr>
        <w:t xml:space="preserve"> (spierać się [w procesie]) w Iz 1,18 (tamże, s. 410). Iz 41,21 podkreśla pojęcie sporu prawnego i jest niemal echem Iz 1,18: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Przedstawcie swoją sprawę - mówi Pan - podajcie swoje dowody, mówi Król Jakuba!</w:t>
      </w:r>
      <w:r w:rsidRPr="00EF6A2C">
        <w:rPr>
          <w:rFonts w:ascii="Times New Roman" w:hAnsi="Times New Roman"/>
          <w:sz w:val="20"/>
        </w:rPr>
        <w:t>”.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W kolejnych wersetach ukazane są dwie części sprawy. Z jednej strony Pan, a z drugiej strony Izrael, sługa.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W rozdziale 41 Pan jest opisany na różne sposoby: „Święty Izraelski”, Odkupiciel, Stwórca i Król. Izrael czy Juda są opisane jako „sługa”, „wybrany” i „przyjaciel” (nawiązanie do Abrahama).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Trzy główne tematy studium to: (1) Bóg przymierza, (2) Bóg i inne tytuły oraz (3) Izrael - sługa.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bCs/>
          <w:sz w:val="20"/>
        </w:rPr>
        <w:t>Część II: Komentarz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i/>
          <w:sz w:val="20"/>
        </w:rPr>
        <w:t>Bóg przymierza</w:t>
      </w:r>
      <w:r w:rsidRPr="00EF6A2C">
        <w:rPr>
          <w:rFonts w:ascii="Times New Roman" w:hAnsi="Times New Roman"/>
          <w:sz w:val="20"/>
        </w:rPr>
        <w:t xml:space="preserve">. Bóg jest przedstawiony na kilka sposobów w Iz 41. Kiedy jest mowa o Bogu w kontekście więzi przymierza z Jego ludem, </w:t>
      </w:r>
      <w:r w:rsidRPr="00EF6A2C">
        <w:rPr>
          <w:rFonts w:ascii="Times New Roman" w:hAnsi="Times New Roman"/>
          <w:i/>
          <w:sz w:val="20"/>
        </w:rPr>
        <w:t>Biblia</w:t>
      </w:r>
      <w:r w:rsidRPr="00EF6A2C">
        <w:rPr>
          <w:rFonts w:ascii="Times New Roman" w:hAnsi="Times New Roman"/>
          <w:sz w:val="20"/>
        </w:rPr>
        <w:t xml:space="preserve"> używa imienia JHWH, tłumaczonego jako „Pan”. Izajasz posłużył się tym imieniem Boga około 150 razy. Imię to występuje w hebrajskiej </w:t>
      </w:r>
      <w:r w:rsidRPr="00EF6A2C">
        <w:rPr>
          <w:rFonts w:ascii="Times New Roman" w:hAnsi="Times New Roman"/>
          <w:i/>
          <w:sz w:val="20"/>
        </w:rPr>
        <w:t>Biblii</w:t>
      </w:r>
      <w:r w:rsidRPr="00EF6A2C">
        <w:rPr>
          <w:rFonts w:ascii="Times New Roman" w:hAnsi="Times New Roman"/>
          <w:sz w:val="20"/>
        </w:rPr>
        <w:t xml:space="preserve"> 6828 razy (</w:t>
      </w:r>
      <w:r w:rsidRPr="00EF6A2C">
        <w:rPr>
          <w:rFonts w:ascii="Times New Roman" w:hAnsi="Times New Roman"/>
          <w:sz w:val="20"/>
          <w:lang w:val="en-GB"/>
        </w:rPr>
        <w:t xml:space="preserve">David J.A. Clines, </w:t>
      </w:r>
      <w:r w:rsidRPr="00EF6A2C">
        <w:rPr>
          <w:rFonts w:ascii="Times New Roman" w:hAnsi="Times New Roman"/>
          <w:i/>
          <w:iCs/>
          <w:sz w:val="20"/>
          <w:lang w:val="en-GB"/>
        </w:rPr>
        <w:t>The</w:t>
      </w:r>
      <w:r w:rsidRPr="00EF6A2C">
        <w:rPr>
          <w:rFonts w:ascii="Times New Roman" w:hAnsi="Times New Roman"/>
          <w:sz w:val="20"/>
          <w:lang w:val="en-GB"/>
        </w:rPr>
        <w:t xml:space="preserve"> </w:t>
      </w:r>
      <w:r w:rsidRPr="00EF6A2C">
        <w:rPr>
          <w:rFonts w:ascii="Times New Roman" w:hAnsi="Times New Roman"/>
          <w:i/>
          <w:iCs/>
          <w:sz w:val="20"/>
          <w:lang w:val="en-GB"/>
        </w:rPr>
        <w:t>Dictionary of Classical Hebrew</w:t>
      </w:r>
      <w:r w:rsidRPr="00EF6A2C">
        <w:rPr>
          <w:rFonts w:ascii="Times New Roman" w:hAnsi="Times New Roman"/>
          <w:sz w:val="20"/>
          <w:lang w:val="en-GB"/>
        </w:rPr>
        <w:t>, t. 4, s. 122</w:t>
      </w:r>
      <w:r w:rsidRPr="00EF6A2C">
        <w:rPr>
          <w:rFonts w:ascii="Times New Roman" w:hAnsi="Times New Roman"/>
          <w:sz w:val="20"/>
        </w:rPr>
        <w:t>).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Sprawozdanie </w:t>
      </w:r>
      <w:r w:rsidRPr="00EF6A2C">
        <w:rPr>
          <w:rFonts w:ascii="Times New Roman" w:hAnsi="Times New Roman"/>
          <w:i/>
          <w:sz w:val="20"/>
        </w:rPr>
        <w:t>Pięcioksięgu</w:t>
      </w:r>
      <w:r w:rsidRPr="00EF6A2C">
        <w:rPr>
          <w:rFonts w:ascii="Times New Roman" w:hAnsi="Times New Roman"/>
          <w:sz w:val="20"/>
        </w:rPr>
        <w:t xml:space="preserve"> przedstawia wyraźnie genezę tego imienia Boga. W tym studium uwzględnimy niektóre fragmenty odnoszące się do osoby, do której nawiązuje Izajasz - Abrahama. Są trzy szczególne momenty w więzi przymierza Boga z Abrahamem, a w każdym z nich użyte jest imię Boga JHWH: (1) Pan (JHWH) powołuje Abrma i obiecuje mu uczynić jego potomków wielkim narodem </w:t>
      </w:r>
      <w:r w:rsidRPr="00EF6A2C">
        <w:rPr>
          <w:rFonts w:ascii="Times New Roman" w:hAnsi="Times New Roman"/>
          <w:iCs/>
          <w:sz w:val="20"/>
          <w:lang w:val="en-GB"/>
        </w:rPr>
        <w:t>(Rdz 12,1-3)</w:t>
      </w:r>
      <w:r w:rsidRPr="00EF6A2C">
        <w:rPr>
          <w:rFonts w:ascii="Times New Roman" w:hAnsi="Times New Roman"/>
          <w:sz w:val="20"/>
        </w:rPr>
        <w:t xml:space="preserve">, (2) Pan (JHWH) zawiera przymierze </w:t>
      </w:r>
      <w:r w:rsidRPr="00EF6A2C">
        <w:rPr>
          <w:rFonts w:ascii="Times New Roman" w:hAnsi="Times New Roman"/>
          <w:iCs/>
          <w:sz w:val="20"/>
          <w:lang w:val="en-GB"/>
        </w:rPr>
        <w:t>(Rdz 15,1-21)</w:t>
      </w:r>
      <w:r w:rsidRPr="00EF6A2C">
        <w:rPr>
          <w:rFonts w:ascii="Times New Roman" w:hAnsi="Times New Roman"/>
          <w:sz w:val="20"/>
        </w:rPr>
        <w:t xml:space="preserve">, oraz (3) Pan (JHWH) potwierdza przymierze </w:t>
      </w:r>
      <w:r w:rsidRPr="00EF6A2C">
        <w:rPr>
          <w:rFonts w:ascii="Times New Roman" w:hAnsi="Times New Roman"/>
          <w:iCs/>
          <w:sz w:val="20"/>
          <w:lang w:val="en-GB"/>
        </w:rPr>
        <w:t>(Rdz 17,1-27)</w:t>
      </w:r>
      <w:r w:rsidRPr="00EF6A2C">
        <w:rPr>
          <w:rFonts w:ascii="Times New Roman" w:hAnsi="Times New Roman"/>
          <w:sz w:val="20"/>
        </w:rPr>
        <w:t>. Kilka wyrażeń w Rdz 12 wskazuje na osobistą więź między Panem i Abrahamem.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Wyjdź (...) do ziemi, którą ci wskażę. (...) będę ci błogosławił i uczynię sławnym imię twoje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(Rdz 12,1-2)</w:t>
      </w:r>
      <w:r w:rsidRPr="00EF6A2C">
        <w:rPr>
          <w:rFonts w:ascii="Times New Roman" w:hAnsi="Times New Roman"/>
          <w:sz w:val="20"/>
        </w:rPr>
        <w:t>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Inny fragment, Rdz 15, także zawiera imię JHWH. Scena przymierza obejmuje Boże słowa osobistej troski o Abrama: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Nie bój się, Abramie, Jam tarczą twoją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(Rdz 15,1)</w:t>
      </w:r>
      <w:r w:rsidRPr="00EF6A2C">
        <w:rPr>
          <w:rFonts w:ascii="Times New Roman" w:hAnsi="Times New Roman"/>
          <w:sz w:val="20"/>
        </w:rPr>
        <w:t>. Rdz 15,2-6 opisuje rozmowę wyrażającą osobistą troskę, kiedy Abram wyraża przed Panem swoją niepewność co do spełnienia przymierza. W Rdz 15,7 Pan powtarza Abramowi swoje imię.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Jam jest Pan, który cię wywiódł z Ur chaldejskiego, aby ci dać tę ziemię w</w:t>
      </w:r>
      <w:r>
        <w:rPr>
          <w:rFonts w:ascii="Times New Roman" w:eastAsiaTheme="minorHAnsi" w:hAnsi="Times New Roman"/>
          <w:color w:val="000000"/>
          <w:sz w:val="20"/>
          <w:lang w:eastAsia="en-US"/>
        </w:rPr>
        <w:t> 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 posiadanie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(Rdz 15,7)</w:t>
      </w:r>
      <w:r w:rsidRPr="00EF6A2C">
        <w:rPr>
          <w:rFonts w:ascii="Times New Roman" w:hAnsi="Times New Roman"/>
          <w:sz w:val="20"/>
        </w:rPr>
        <w:t>. Rdz 15,18 wskazuje wyraźne powiązanie między imieniem JHWH a przymierzem.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W</w:t>
      </w:r>
      <w:r>
        <w:rPr>
          <w:rFonts w:ascii="Times New Roman" w:eastAsiaTheme="minorHAnsi" w:hAnsi="Times New Roman"/>
          <w:color w:val="000000"/>
          <w:sz w:val="20"/>
          <w:lang w:eastAsia="en-US"/>
        </w:rPr>
        <w:t> 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 dniu tym zawarł Pan przymierze z Abramem, mówiąc: Potomstwu twemu daję tę ziemię</w:t>
      </w:r>
      <w:r w:rsidRPr="00EF6A2C">
        <w:rPr>
          <w:rFonts w:ascii="Times New Roman" w:hAnsi="Times New Roman"/>
          <w:sz w:val="20"/>
        </w:rPr>
        <w:t>”.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W Rdz 17 Pan (JHWH) po raz kolejny rozmawia z Abramem. Tekst wskazuje na osobistą więź -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trwaj w</w:t>
      </w:r>
      <w:r>
        <w:rPr>
          <w:rFonts w:ascii="Times New Roman" w:eastAsiaTheme="minorHAnsi" w:hAnsi="Times New Roman"/>
          <w:color w:val="000000"/>
          <w:sz w:val="20"/>
          <w:lang w:eastAsia="en-US"/>
        </w:rPr>
        <w:t> 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 społeczności ze mną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 xml:space="preserve">(Rdz 17,1) </w:t>
      </w:r>
      <w:r w:rsidRPr="00EF6A2C">
        <w:rPr>
          <w:rFonts w:ascii="Times New Roman" w:hAnsi="Times New Roman"/>
          <w:sz w:val="20"/>
        </w:rPr>
        <w:t>- i świadczy, że przymierze ma być rzeczywistą umową: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Ustanowię bowiem przymierze między mną a tobą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(Rdz 17,2)</w:t>
      </w:r>
      <w:r w:rsidRPr="00EF6A2C">
        <w:rPr>
          <w:rFonts w:ascii="Times New Roman" w:hAnsi="Times New Roman"/>
          <w:sz w:val="20"/>
        </w:rPr>
        <w:t>. Jest to powtórzone w Rdz 17,4 i wiąże się także ze zmianą imienia Abrama wstępującego w przymierze z Bogiem: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Nie będziesz już odtąd nazywał się Abram, lecz imię twoje będzie Abraham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(Rdz 17,5)</w:t>
      </w:r>
      <w:r w:rsidRPr="00EF6A2C">
        <w:rPr>
          <w:rFonts w:ascii="Times New Roman" w:hAnsi="Times New Roman"/>
          <w:sz w:val="20"/>
        </w:rPr>
        <w:t>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Czasami w formułach przymierzy słowo </w:t>
      </w:r>
      <w:r w:rsidRPr="00EF6A2C">
        <w:rPr>
          <w:rFonts w:ascii="Times New Roman" w:eastAsia="Calibri" w:hAnsi="Times New Roman"/>
          <w:i/>
          <w:sz w:val="20"/>
        </w:rPr>
        <w:t>ʾ</w:t>
      </w:r>
      <w:r w:rsidRPr="00EF6A2C">
        <w:rPr>
          <w:rFonts w:ascii="Times New Roman" w:eastAsia="Calibri" w:hAnsi="Times New Roman"/>
          <w:i/>
          <w:iCs/>
          <w:sz w:val="20"/>
        </w:rPr>
        <w:t>ᵉ</w:t>
      </w:r>
      <w:r w:rsidRPr="00EF6A2C">
        <w:rPr>
          <w:rFonts w:ascii="Times New Roman" w:hAnsi="Times New Roman"/>
          <w:i/>
          <w:iCs/>
          <w:sz w:val="20"/>
        </w:rPr>
        <w:t>lo</w:t>
      </w:r>
      <w:r w:rsidRPr="00EF6A2C">
        <w:rPr>
          <w:rFonts w:ascii="Times New Roman" w:eastAsia="Calibri" w:hAnsi="Times New Roman"/>
          <w:i/>
          <w:iCs/>
          <w:sz w:val="20"/>
        </w:rPr>
        <w:t>̄</w:t>
      </w:r>
      <w:r w:rsidRPr="00EF6A2C">
        <w:rPr>
          <w:rFonts w:ascii="Times New Roman" w:hAnsi="Times New Roman"/>
          <w:i/>
          <w:iCs/>
          <w:sz w:val="20"/>
        </w:rPr>
        <w:t>him</w:t>
      </w:r>
      <w:r w:rsidRPr="00EF6A2C">
        <w:rPr>
          <w:rFonts w:ascii="Times New Roman" w:hAnsi="Times New Roman"/>
          <w:sz w:val="20"/>
        </w:rPr>
        <w:t xml:space="preserve"> (Bóg) jest dodawane do imienia JHWH. Tak więc w tego typu literaturze przedmiotem przymierza jest JHWH, a czasami Pan Bóg albo „Pan, twój Bóg”. W doświadczeniu Abrahama widzimy, że imię wiąże się z zawarciem przymierza i osobistą więzią z JHWH, Panem.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W Iz 41 występują elementy przymierza. Wnioskujemy to nie tylko z użycia imienia JHWH, ale także z</w:t>
      </w:r>
      <w:r>
        <w:rPr>
          <w:rFonts w:ascii="Times New Roman" w:hAnsi="Times New Roman"/>
          <w:sz w:val="20"/>
        </w:rPr>
        <w:t> </w:t>
      </w:r>
      <w:r w:rsidRPr="00EF6A2C">
        <w:rPr>
          <w:rFonts w:ascii="Times New Roman" w:hAnsi="Times New Roman"/>
          <w:sz w:val="20"/>
        </w:rPr>
        <w:t xml:space="preserve"> odwołania do Izraela jako „wybranego” </w:t>
      </w:r>
      <w:r w:rsidRPr="00EF6A2C">
        <w:rPr>
          <w:rFonts w:ascii="Times New Roman" w:hAnsi="Times New Roman"/>
          <w:iCs/>
          <w:sz w:val="20"/>
          <w:lang w:val="en-GB"/>
        </w:rPr>
        <w:t>(Iz 41,8)</w:t>
      </w:r>
      <w:r w:rsidRPr="00EF6A2C">
        <w:rPr>
          <w:rFonts w:ascii="Times New Roman" w:hAnsi="Times New Roman"/>
          <w:sz w:val="20"/>
        </w:rPr>
        <w:t xml:space="preserve">. Nawiązanie do Abrahama, którego imię jednoznacznie kojarzy się z przymierzem Boga z Izraelem, jest także kolejnym czynnikiem, który sugeruje te elementy. Jednak, jak wspomnieliśmy wcześniej, imię JHWH (Pan) jest związane z osobistą więzią Boga z Jego ludem. Iz 41 wyraźnie podkreśla osobisty charakter tej więzi. Pan nazywa Abrahama swoim przyjacielem </w:t>
      </w:r>
      <w:r w:rsidRPr="00EF6A2C">
        <w:rPr>
          <w:rFonts w:ascii="Times New Roman" w:hAnsi="Times New Roman"/>
          <w:iCs/>
          <w:sz w:val="20"/>
          <w:lang w:val="en-GB"/>
        </w:rPr>
        <w:t>(Iz 41,8)</w:t>
      </w:r>
      <w:r w:rsidRPr="00EF6A2C">
        <w:rPr>
          <w:rFonts w:ascii="Times New Roman" w:hAnsi="Times New Roman"/>
          <w:sz w:val="20"/>
        </w:rPr>
        <w:t>. Podobna więź znajduje odzwierciedlenie w ostatnim zdaniu Iz 41,4: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Ja, Pan, jestem pierwszy i Ja też będę z ostatnimi</w:t>
      </w:r>
      <w:r w:rsidRPr="00EF6A2C">
        <w:rPr>
          <w:rFonts w:ascii="Times New Roman" w:hAnsi="Times New Roman"/>
          <w:sz w:val="20"/>
        </w:rPr>
        <w:t>”.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Wyrażenie „będę z ostatnimi” zostało wyjaśnione przez Johna Oswalta następująco: „On jest z nami na dobre i złe, w zależności od tego, jak Mu odpowiadamy. Nie ma nikogo innego takiego jak On. On jest jedyną nieśmiertelną istotą we wszechświecie - jedynym, który może powiedzieć: «Jestem»” (</w:t>
      </w:r>
      <w:r w:rsidRPr="00EF6A2C">
        <w:rPr>
          <w:rFonts w:ascii="Times New Roman" w:hAnsi="Times New Roman"/>
          <w:sz w:val="20"/>
          <w:lang w:val="en-GB"/>
        </w:rPr>
        <w:t xml:space="preserve">John Oswalt, </w:t>
      </w:r>
      <w:r w:rsidRPr="00EF6A2C">
        <w:rPr>
          <w:rFonts w:ascii="Times New Roman" w:hAnsi="Times New Roman"/>
          <w:i/>
          <w:iCs/>
          <w:sz w:val="20"/>
          <w:lang w:val="en-GB"/>
        </w:rPr>
        <w:t>The Book of Isaiah, Chapters 40-66, The New International Commentary on the Old Testament</w:t>
      </w:r>
      <w:r w:rsidRPr="00EF6A2C">
        <w:rPr>
          <w:rFonts w:ascii="Times New Roman" w:hAnsi="Times New Roman"/>
          <w:iCs/>
          <w:sz w:val="20"/>
          <w:lang w:val="en-GB"/>
        </w:rPr>
        <w:t>,</w:t>
      </w:r>
      <w:r w:rsidRPr="00EF6A2C">
        <w:rPr>
          <w:rFonts w:ascii="Times New Roman" w:hAnsi="Times New Roman"/>
          <w:sz w:val="20"/>
          <w:lang w:val="en-GB"/>
        </w:rPr>
        <w:t xml:space="preserve"> Grand Rapids 1998, s. 84</w:t>
      </w:r>
      <w:r w:rsidRPr="00EF6A2C">
        <w:rPr>
          <w:rFonts w:ascii="Times New Roman" w:hAnsi="Times New Roman"/>
          <w:sz w:val="20"/>
        </w:rPr>
        <w:t>).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lastRenderedPageBreak/>
        <w:t xml:space="preserve">Oswalt widzi tu także powiązanie z </w:t>
      </w:r>
      <w:r w:rsidRPr="00EF6A2C">
        <w:rPr>
          <w:rFonts w:ascii="Times New Roman" w:hAnsi="Times New Roman"/>
          <w:i/>
          <w:sz w:val="20"/>
        </w:rPr>
        <w:t>Księgą Izajasza</w:t>
      </w:r>
      <w:r w:rsidRPr="00EF6A2C">
        <w:rPr>
          <w:rFonts w:ascii="Times New Roman" w:hAnsi="Times New Roman"/>
          <w:sz w:val="20"/>
        </w:rPr>
        <w:t xml:space="preserve"> i </w:t>
      </w:r>
      <w:r w:rsidRPr="00EF6A2C">
        <w:rPr>
          <w:rFonts w:ascii="Times New Roman" w:hAnsi="Times New Roman"/>
          <w:i/>
          <w:sz w:val="20"/>
        </w:rPr>
        <w:t>Nowym Testamentem</w:t>
      </w:r>
      <w:r w:rsidRPr="00EF6A2C">
        <w:rPr>
          <w:rFonts w:ascii="Times New Roman" w:hAnsi="Times New Roman"/>
          <w:sz w:val="20"/>
        </w:rPr>
        <w:t xml:space="preserve">. Pisze: „W </w:t>
      </w:r>
      <w:r w:rsidRPr="00EF6A2C">
        <w:rPr>
          <w:rFonts w:ascii="Times New Roman" w:hAnsi="Times New Roman"/>
          <w:i/>
          <w:sz w:val="20"/>
        </w:rPr>
        <w:t>Septuagincie</w:t>
      </w:r>
      <w:r w:rsidRPr="00EF6A2C">
        <w:rPr>
          <w:rFonts w:ascii="Times New Roman" w:hAnsi="Times New Roman"/>
          <w:sz w:val="20"/>
        </w:rPr>
        <w:t xml:space="preserve"> regularnym tłumaczeniem wyrażenia </w:t>
      </w:r>
      <w:r w:rsidRPr="00EF6A2C">
        <w:rPr>
          <w:rFonts w:ascii="Times New Roman" w:eastAsia="Calibri" w:hAnsi="Times New Roman"/>
          <w:i/>
          <w:sz w:val="20"/>
        </w:rPr>
        <w:t>ʾᵃ</w:t>
      </w:r>
      <w:r w:rsidRPr="00EF6A2C">
        <w:rPr>
          <w:rFonts w:ascii="Times New Roman" w:hAnsi="Times New Roman"/>
          <w:i/>
          <w:sz w:val="20"/>
        </w:rPr>
        <w:t>n</w:t>
      </w:r>
      <w:r w:rsidRPr="00EF6A2C">
        <w:rPr>
          <w:rFonts w:ascii="Times New Roman" w:eastAsia="Calibri" w:hAnsi="Times New Roman"/>
          <w:i/>
          <w:sz w:val="20"/>
        </w:rPr>
        <w:t>ı̂</w:t>
      </w:r>
      <w:r w:rsidRPr="00EF6A2C">
        <w:rPr>
          <w:rFonts w:ascii="Times New Roman" w:hAnsi="Times New Roman"/>
          <w:i/>
          <w:sz w:val="20"/>
        </w:rPr>
        <w:t xml:space="preserve"> hu</w:t>
      </w:r>
      <w:r w:rsidRPr="00EF6A2C">
        <w:rPr>
          <w:rFonts w:ascii="Times New Roman" w:eastAsia="Calibri" w:hAnsi="Times New Roman"/>
          <w:i/>
          <w:sz w:val="20"/>
        </w:rPr>
        <w:t>̂ʾ</w:t>
      </w:r>
      <w:r w:rsidRPr="00EF6A2C">
        <w:rPr>
          <w:rFonts w:ascii="Times New Roman" w:eastAsia="Calibri" w:hAnsi="Times New Roman"/>
          <w:sz w:val="20"/>
        </w:rPr>
        <w:t xml:space="preserve"> («jestem nim») </w:t>
      </w:r>
      <w:r w:rsidRPr="00EF6A2C">
        <w:rPr>
          <w:rFonts w:ascii="Times New Roman" w:hAnsi="Times New Roman"/>
          <w:sz w:val="20"/>
        </w:rPr>
        <w:t xml:space="preserve">jest </w:t>
      </w:r>
      <w:r w:rsidRPr="00EF6A2C">
        <w:rPr>
          <w:rFonts w:ascii="Times New Roman" w:hAnsi="Times New Roman"/>
          <w:i/>
          <w:sz w:val="20"/>
        </w:rPr>
        <w:t>ego eimi</w:t>
      </w:r>
      <w:r w:rsidRPr="00EF6A2C">
        <w:rPr>
          <w:rFonts w:ascii="Times New Roman" w:hAnsi="Times New Roman"/>
          <w:sz w:val="20"/>
        </w:rPr>
        <w:t xml:space="preserve">. Fakt, iż Jezus celowo zastosował to wyrażenie do siebie </w:t>
      </w:r>
      <w:r w:rsidRPr="00EF6A2C">
        <w:rPr>
          <w:rFonts w:ascii="Times New Roman" w:hAnsi="Times New Roman"/>
          <w:iCs/>
          <w:sz w:val="20"/>
        </w:rPr>
        <w:t>(por. z J 8,58; 18,5), mówi wyraźnie o tym, jak rozumiał swoją tożsamość</w:t>
      </w:r>
      <w:r w:rsidRPr="00EF6A2C">
        <w:rPr>
          <w:rFonts w:ascii="Times New Roman" w:hAnsi="Times New Roman"/>
          <w:sz w:val="20"/>
        </w:rPr>
        <w:t>” (tamże, s. 84-85).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i/>
          <w:sz w:val="20"/>
        </w:rPr>
        <w:t>Bóg i inne tytuły</w:t>
      </w:r>
      <w:r w:rsidRPr="00EF6A2C">
        <w:rPr>
          <w:rFonts w:ascii="Times New Roman" w:hAnsi="Times New Roman"/>
          <w:sz w:val="20"/>
        </w:rPr>
        <w:t>. Dodatkowe cechy Pana są podkreślone w Iz 41. On jest Świętym.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Ja cię wspomogę - mówi Pan - twoim odkupicielem jest Święty Izraelski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41,14)</w:t>
      </w:r>
      <w:r w:rsidRPr="00EF6A2C">
        <w:rPr>
          <w:rFonts w:ascii="Times New Roman" w:hAnsi="Times New Roman"/>
          <w:sz w:val="20"/>
        </w:rPr>
        <w:t>. Podobne pojęcie jest wyrażone w Iz 41,20: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Zrozumieli wszyscy, że to ręka Pana uczyniła i że to stworzył Święty Izraelski</w:t>
      </w:r>
      <w:r w:rsidRPr="00EF6A2C">
        <w:rPr>
          <w:rFonts w:ascii="Times New Roman" w:hAnsi="Times New Roman"/>
          <w:sz w:val="20"/>
        </w:rPr>
        <w:t>”.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„Święty” to jeden z najważniejszych tytułów Pana w </w:t>
      </w:r>
      <w:r w:rsidRPr="00EF6A2C">
        <w:rPr>
          <w:rFonts w:ascii="Times New Roman" w:hAnsi="Times New Roman"/>
          <w:i/>
          <w:sz w:val="20"/>
        </w:rPr>
        <w:t>Księdze Izajasza</w:t>
      </w:r>
      <w:r w:rsidRPr="00EF6A2C">
        <w:rPr>
          <w:rFonts w:ascii="Times New Roman" w:hAnsi="Times New Roman"/>
          <w:sz w:val="20"/>
        </w:rPr>
        <w:t xml:space="preserve"> oraz jeden z głównych tematów księgi. Słowo „Święty” zostało użyte przez Izajasza 33 razy. Jak zauważyliśmy w lekcji 2, określenie „święty” odnosi się do „czystości, doskonałości, ukrytej chwały JHWH”. Świętość jest sednem Jego istoty. Tytuł „Święty” wskazuje moralny standard dla narodu. To wezwanie do świętości jest zakorzenione w prawie mojżeszowym, oparte na Bożej deklaracji własnej doskonałości Boga: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Mów do całego zboru synów izraelskich i powiedz im: Świętymi bądźcie, bom Ja jest święty, Pan, Bóg wasz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(Kpł 19,2)</w:t>
      </w:r>
      <w:r w:rsidRPr="00EF6A2C">
        <w:rPr>
          <w:rFonts w:ascii="Times New Roman" w:hAnsi="Times New Roman"/>
          <w:sz w:val="20"/>
        </w:rPr>
        <w:t>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Prorok Izajasz używa tytułu „Święty”, by powiązać ze sobą dwie inne cechy Boga - Jego rolę Stwórcy i Odkupiciela. Pojęcie Boga jako naszego Stwórcy jest wyrażone w pięknym paralelizmie w Iz 41,20: „A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by widzieli i poznali, zważyli i zrozumieli wszyscy, że to ręka Pana uczyniła i że to stworzył Święty Izraelski</w:t>
      </w:r>
      <w:r w:rsidRPr="00EF6A2C">
        <w:rPr>
          <w:rFonts w:ascii="Times New Roman" w:hAnsi="Times New Roman"/>
          <w:sz w:val="20"/>
        </w:rPr>
        <w:t>”.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Pan jest przedstawiony w Iz 41 jako Odkupiciel: „T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woim odkupicielem jest Święty Izraelski</w:t>
      </w:r>
      <w:r w:rsidRPr="00EF6A2C">
        <w:rPr>
          <w:rFonts w:ascii="Times New Roman" w:hAnsi="Times New Roman"/>
          <w:sz w:val="20"/>
        </w:rPr>
        <w:t>” (w. 14). Hebrajskie słowo tłumaczone przeważnie jako „Odkupiciel” oznacza „odzyskujący na własność” albo „odzyskujący dla siebie” (</w:t>
      </w:r>
      <w:r w:rsidRPr="00EF6A2C">
        <w:rPr>
          <w:rFonts w:ascii="Times New Roman" w:hAnsi="Times New Roman"/>
          <w:sz w:val="20"/>
          <w:lang w:val="en-GB"/>
        </w:rPr>
        <w:t xml:space="preserve">Ludwig Koehler i Walter Baumgartner, </w:t>
      </w:r>
      <w:r w:rsidRPr="00EF6A2C">
        <w:rPr>
          <w:rFonts w:ascii="Times New Roman" w:hAnsi="Times New Roman"/>
          <w:i/>
          <w:iCs/>
          <w:sz w:val="20"/>
          <w:lang w:val="en-GB"/>
        </w:rPr>
        <w:t>The Hebrew and Aramaic Lexicon of the Old Testament</w:t>
      </w:r>
      <w:r w:rsidRPr="00EF6A2C">
        <w:rPr>
          <w:rFonts w:ascii="Times New Roman" w:hAnsi="Times New Roman"/>
          <w:iCs/>
          <w:sz w:val="20"/>
          <w:lang w:val="en-GB"/>
        </w:rPr>
        <w:t>, t. </w:t>
      </w:r>
      <w:r w:rsidRPr="00EF6A2C">
        <w:rPr>
          <w:rFonts w:ascii="Times New Roman" w:hAnsi="Times New Roman"/>
          <w:sz w:val="20"/>
          <w:lang w:val="en-GB"/>
        </w:rPr>
        <w:t>1, s. 169</w:t>
      </w:r>
      <w:r w:rsidRPr="00EF6A2C">
        <w:rPr>
          <w:rFonts w:ascii="Times New Roman" w:hAnsi="Times New Roman"/>
          <w:sz w:val="20"/>
        </w:rPr>
        <w:t>).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Cechy Pana Jako Stwórcy (w tym przypadku Stworcy Izraela) i Odkupiciela Izraela są wyraźnie podkreślone w tej części księgi. Na przykład Iz 43,1: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Lecz teraz - tak mówi Pan - który cię stworzył, Jakubie, i</w:t>
      </w:r>
      <w:r>
        <w:rPr>
          <w:rFonts w:ascii="Times New Roman" w:eastAsiaTheme="minorHAnsi" w:hAnsi="Times New Roman"/>
          <w:color w:val="000000"/>
          <w:sz w:val="20"/>
          <w:lang w:eastAsia="en-US"/>
        </w:rPr>
        <w:t> 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 który cię ukształtował, Izraelu: Nie bój się, bo cię wykupiłem, nazwałem cię twoim imieniem - moim jesteś!</w:t>
      </w:r>
      <w:r w:rsidRPr="00EF6A2C">
        <w:rPr>
          <w:rFonts w:ascii="Times New Roman" w:hAnsi="Times New Roman"/>
          <w:sz w:val="20"/>
        </w:rPr>
        <w:t>”.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Inny tytuł, jakiego Izajasz używa w paralelizmie do Pana to „Król Jakuba” </w:t>
      </w:r>
      <w:r w:rsidRPr="00EF6A2C">
        <w:rPr>
          <w:rFonts w:ascii="Times New Roman" w:hAnsi="Times New Roman"/>
          <w:iCs/>
          <w:sz w:val="20"/>
          <w:lang w:val="en-GB"/>
        </w:rPr>
        <w:t>(Iz 41,21)</w:t>
      </w:r>
      <w:r w:rsidRPr="00EF6A2C">
        <w:rPr>
          <w:rFonts w:ascii="Times New Roman" w:hAnsi="Times New Roman"/>
          <w:sz w:val="20"/>
        </w:rPr>
        <w:t>. Nie ma wątpliwości, że jest to tytuł mesjański.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Tak więc Iz 41 ukazuje różne imiona i tytuły opisujące Boga. Ciekawe, że Izajasz używa w Iz 43,15 niemal tego samego wyrażenia w odniesieniu do Boga: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Ja, Pan, jestem waszym Świętym; Ja, Stwórca Izraela, jestem waszym Królem</w:t>
      </w:r>
      <w:r w:rsidRPr="00EF6A2C">
        <w:rPr>
          <w:rFonts w:ascii="Times New Roman" w:hAnsi="Times New Roman"/>
          <w:sz w:val="20"/>
        </w:rPr>
        <w:t>”.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i/>
          <w:sz w:val="20"/>
        </w:rPr>
        <w:t>Izrael - sługa</w:t>
      </w:r>
      <w:r w:rsidRPr="00EF6A2C">
        <w:rPr>
          <w:rFonts w:ascii="Times New Roman" w:hAnsi="Times New Roman"/>
          <w:sz w:val="20"/>
        </w:rPr>
        <w:t>. Pan został opisany wieloma tytułami w Iz 41. Podobnie Izrael w swojej więzi przymierza z Bogiem otrzymał kilka tytułów. Na przykład, w relacji z Bogiem Izrael jest „sługą”, „wybranym” i „przyjacielem”.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W wielu sekcjach </w:t>
      </w:r>
      <w:r w:rsidRPr="00EF6A2C">
        <w:rPr>
          <w:rFonts w:ascii="Times New Roman" w:hAnsi="Times New Roman"/>
          <w:i/>
          <w:sz w:val="20"/>
        </w:rPr>
        <w:t>Księgi Izajasza</w:t>
      </w:r>
      <w:r w:rsidRPr="00EF6A2C">
        <w:rPr>
          <w:rFonts w:ascii="Times New Roman" w:hAnsi="Times New Roman"/>
          <w:sz w:val="20"/>
        </w:rPr>
        <w:t xml:space="preserve"> Izrael, a konkretniej naród Judy, jest nazwany sługą Pańskim. Zob. m.in. </w:t>
      </w:r>
      <w:r w:rsidRPr="00EF6A2C">
        <w:rPr>
          <w:rFonts w:ascii="Times New Roman" w:hAnsi="Times New Roman"/>
          <w:sz w:val="20"/>
          <w:lang w:val="en-GB"/>
        </w:rPr>
        <w:t>Iz 41,8-9; 44,1.21; 45,4; 48,20; 49,3</w:t>
      </w:r>
      <w:r w:rsidRPr="00EF6A2C">
        <w:rPr>
          <w:rFonts w:ascii="Times New Roman" w:hAnsi="Times New Roman"/>
          <w:sz w:val="20"/>
        </w:rPr>
        <w:t>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Iz 41,8 wskazuje wiele istotnych cech sługi: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Lecz ty, Izraelu, mój sługo, Jakubie, którego wybrałem, potomstwo Abrahama, mojego przyjaciela</w:t>
      </w:r>
      <w:r w:rsidRPr="00EF6A2C">
        <w:rPr>
          <w:rFonts w:ascii="Times New Roman" w:hAnsi="Times New Roman"/>
          <w:sz w:val="20"/>
        </w:rPr>
        <w:t>”.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Alec Motyer identyfikuje cztery cechy sługi w tym wersecie: „Po pierwsze, Izrael zaistniał jako </w:t>
      </w:r>
      <w:r w:rsidRPr="00EF6A2C">
        <w:rPr>
          <w:rFonts w:ascii="Times New Roman" w:hAnsi="Times New Roman"/>
          <w:i/>
          <w:sz w:val="20"/>
        </w:rPr>
        <w:t>sługa</w:t>
      </w:r>
      <w:r w:rsidRPr="00EF6A2C">
        <w:rPr>
          <w:rFonts w:ascii="Times New Roman" w:hAnsi="Times New Roman"/>
          <w:sz w:val="20"/>
        </w:rPr>
        <w:t xml:space="preserve"> Pana z Boskiego wyboru </w:t>
      </w:r>
      <w:r w:rsidRPr="00EF6A2C">
        <w:rPr>
          <w:rFonts w:ascii="Times New Roman" w:hAnsi="Times New Roman"/>
          <w:iCs/>
          <w:sz w:val="20"/>
        </w:rPr>
        <w:t xml:space="preserve">(Iz 41,8b.9d; Ef 1,4). Po drugie, więź rozpoczęła się od </w:t>
      </w:r>
      <w:r w:rsidRPr="00EF6A2C">
        <w:rPr>
          <w:rFonts w:ascii="Times New Roman" w:hAnsi="Times New Roman"/>
          <w:i/>
          <w:iCs/>
          <w:sz w:val="20"/>
        </w:rPr>
        <w:t>Abrahama</w:t>
      </w:r>
      <w:r w:rsidRPr="00EF6A2C">
        <w:rPr>
          <w:rFonts w:ascii="Times New Roman" w:hAnsi="Times New Roman"/>
          <w:iCs/>
          <w:sz w:val="20"/>
        </w:rPr>
        <w:t xml:space="preserve">. </w:t>
      </w:r>
      <w:r w:rsidRPr="00EF6A2C">
        <w:rPr>
          <w:rFonts w:ascii="Times New Roman" w:hAnsi="Times New Roman"/>
          <w:i/>
          <w:iCs/>
          <w:sz w:val="20"/>
        </w:rPr>
        <w:t>Przyjaciel</w:t>
      </w:r>
      <w:r w:rsidRPr="00EF6A2C">
        <w:rPr>
          <w:rFonts w:ascii="Times New Roman" w:hAnsi="Times New Roman"/>
          <w:iCs/>
          <w:sz w:val="20"/>
        </w:rPr>
        <w:t xml:space="preserve"> (2 Krn 20,7; Jk 2,23) oznacza dosłownie «umiłowanego»/«miłującego». Po trzecie, rozszerzenie obietnicy przymierza na </w:t>
      </w:r>
      <w:r w:rsidRPr="00EF6A2C">
        <w:rPr>
          <w:rFonts w:ascii="Times New Roman" w:hAnsi="Times New Roman"/>
          <w:i/>
          <w:iCs/>
          <w:sz w:val="20"/>
        </w:rPr>
        <w:t>potomków</w:t>
      </w:r>
      <w:r w:rsidRPr="00EF6A2C">
        <w:rPr>
          <w:rFonts w:ascii="Times New Roman" w:hAnsi="Times New Roman"/>
          <w:iCs/>
          <w:sz w:val="20"/>
        </w:rPr>
        <w:t xml:space="preserve"> (dosł. «nasienie», Rdz 17,7) Abrahama nadal obowiązuje («</w:t>
      </w:r>
      <w:r w:rsidRPr="00EF6A2C">
        <w:rPr>
          <w:rFonts w:ascii="Times New Roman" w:eastAsiaTheme="minorHAnsi" w:hAnsi="Times New Roman"/>
          <w:i/>
          <w:color w:val="000000"/>
          <w:sz w:val="20"/>
          <w:lang w:eastAsia="en-US"/>
        </w:rPr>
        <w:t>wybrałem cię, a nie wzgardziłem tobą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»</w:t>
      </w:r>
      <w:r w:rsidRPr="00EF6A2C">
        <w:rPr>
          <w:rFonts w:ascii="Times New Roman" w:hAnsi="Times New Roman"/>
          <w:iCs/>
          <w:sz w:val="20"/>
        </w:rPr>
        <w:t>). Po czwarte, w wyborze i powołaniu Abrahama Pan ukazał, ze Jego moc sięga po «</w:t>
      </w:r>
      <w:r w:rsidRPr="00EF6A2C">
        <w:rPr>
          <w:rFonts w:ascii="Times New Roman" w:hAnsi="Times New Roman"/>
          <w:i/>
          <w:iCs/>
          <w:sz w:val="20"/>
        </w:rPr>
        <w:t>krańce ziemi</w:t>
      </w:r>
      <w:r w:rsidRPr="00EF6A2C">
        <w:rPr>
          <w:rFonts w:ascii="Times New Roman" w:hAnsi="Times New Roman"/>
          <w:iCs/>
          <w:sz w:val="20"/>
        </w:rPr>
        <w:t xml:space="preserve"> (...) </w:t>
      </w:r>
      <w:r w:rsidRPr="00EF6A2C">
        <w:rPr>
          <w:rFonts w:ascii="Times New Roman" w:hAnsi="Times New Roman"/>
          <w:i/>
          <w:iCs/>
          <w:sz w:val="20"/>
        </w:rPr>
        <w:t>najdalsze zakątki</w:t>
      </w:r>
      <w:r w:rsidRPr="00EF6A2C">
        <w:rPr>
          <w:rFonts w:ascii="Times New Roman" w:hAnsi="Times New Roman"/>
          <w:iCs/>
          <w:sz w:val="20"/>
        </w:rPr>
        <w:t>». Wszystko to nie wskazuje na żadną funkcją, jaką mógłby pełnić sługa, a jedynie na wzniosły status Izraela</w:t>
      </w:r>
      <w:r w:rsidRPr="00EF6A2C">
        <w:rPr>
          <w:rFonts w:ascii="Times New Roman" w:hAnsi="Times New Roman"/>
          <w:sz w:val="20"/>
        </w:rPr>
        <w:t>” (</w:t>
      </w:r>
      <w:r w:rsidRPr="00EF6A2C">
        <w:rPr>
          <w:rFonts w:ascii="Times New Roman" w:hAnsi="Times New Roman"/>
          <w:sz w:val="20"/>
          <w:lang w:val="en-GB"/>
        </w:rPr>
        <w:t xml:space="preserve">J. Alec Motyer, </w:t>
      </w:r>
      <w:r w:rsidRPr="00EF6A2C">
        <w:rPr>
          <w:rFonts w:ascii="Times New Roman" w:hAnsi="Times New Roman"/>
          <w:i/>
          <w:iCs/>
          <w:sz w:val="20"/>
          <w:lang w:val="en-GB"/>
        </w:rPr>
        <w:t>Isaiah: An Introduction and Commentary</w:t>
      </w:r>
      <w:r w:rsidRPr="00EF6A2C">
        <w:rPr>
          <w:rFonts w:ascii="Times New Roman" w:hAnsi="Times New Roman"/>
          <w:sz w:val="20"/>
          <w:lang w:val="en-GB"/>
        </w:rPr>
        <w:t xml:space="preserve">, </w:t>
      </w:r>
      <w:r w:rsidRPr="00EF6A2C">
        <w:rPr>
          <w:rFonts w:ascii="Times New Roman" w:hAnsi="Times New Roman"/>
          <w:i/>
          <w:sz w:val="20"/>
          <w:lang w:val="en-GB"/>
        </w:rPr>
        <w:t>Tyndale Old Testament Commentaries</w:t>
      </w:r>
      <w:r w:rsidRPr="00EF6A2C">
        <w:rPr>
          <w:rFonts w:ascii="Times New Roman" w:hAnsi="Times New Roman"/>
          <w:sz w:val="20"/>
          <w:lang w:val="en-GB"/>
        </w:rPr>
        <w:t>, Downers Grove 1999, t. 20, s. 286</w:t>
      </w:r>
      <w:r w:rsidRPr="00EF6A2C">
        <w:rPr>
          <w:rFonts w:ascii="Times New Roman" w:hAnsi="Times New Roman"/>
          <w:sz w:val="20"/>
        </w:rPr>
        <w:t>).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sz w:val="20"/>
        </w:rPr>
        <w:t>Część III: Zastosowanie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1. Nasz Bóg jest przedstawiony w </w:t>
      </w:r>
      <w:r w:rsidRPr="00EF6A2C">
        <w:rPr>
          <w:rFonts w:ascii="Times New Roman" w:hAnsi="Times New Roman"/>
          <w:i/>
          <w:sz w:val="20"/>
        </w:rPr>
        <w:t>Biblii</w:t>
      </w:r>
      <w:r w:rsidRPr="00EF6A2C">
        <w:rPr>
          <w:rFonts w:ascii="Times New Roman" w:hAnsi="Times New Roman"/>
          <w:sz w:val="20"/>
        </w:rPr>
        <w:t xml:space="preserve"> na wiele sposobów. On jest wielkim </w:t>
      </w:r>
      <w:r w:rsidRPr="00EF6A2C">
        <w:rPr>
          <w:rFonts w:ascii="Times New Roman" w:eastAsia="Calibri" w:hAnsi="Times New Roman"/>
          <w:i/>
          <w:iCs/>
          <w:sz w:val="20"/>
        </w:rPr>
        <w:t>ʾᵉ</w:t>
      </w:r>
      <w:r w:rsidRPr="00EF6A2C">
        <w:rPr>
          <w:rFonts w:ascii="Times New Roman" w:hAnsi="Times New Roman"/>
          <w:i/>
          <w:iCs/>
          <w:sz w:val="20"/>
        </w:rPr>
        <w:t>lo</w:t>
      </w:r>
      <w:r w:rsidRPr="00EF6A2C">
        <w:rPr>
          <w:rFonts w:ascii="Times New Roman" w:eastAsia="Calibri" w:hAnsi="Times New Roman"/>
          <w:i/>
          <w:iCs/>
          <w:sz w:val="20"/>
        </w:rPr>
        <w:t>̄</w:t>
      </w:r>
      <w:r w:rsidRPr="00EF6A2C">
        <w:rPr>
          <w:rFonts w:ascii="Times New Roman" w:hAnsi="Times New Roman"/>
          <w:i/>
          <w:iCs/>
          <w:sz w:val="20"/>
        </w:rPr>
        <w:t>him</w:t>
      </w:r>
      <w:r w:rsidRPr="00EF6A2C">
        <w:rPr>
          <w:rFonts w:ascii="Times New Roman" w:hAnsi="Times New Roman"/>
          <w:sz w:val="20"/>
        </w:rPr>
        <w:t>, Władcą wszechświata, transcendentnym Bogiem. Jednak jest także Bogiem osobistym, a by to podkreślić, biblijni autorzy używają imienia JHWH tłumaczonego jako Pan. JHWH jest Bogiem przymierza, Bogiem osobistej relacji z</w:t>
      </w:r>
      <w:r>
        <w:rPr>
          <w:rFonts w:ascii="Times New Roman" w:hAnsi="Times New Roman"/>
          <w:sz w:val="20"/>
        </w:rPr>
        <w:t> </w:t>
      </w:r>
      <w:r w:rsidRPr="00EF6A2C">
        <w:rPr>
          <w:rFonts w:ascii="Times New Roman" w:hAnsi="Times New Roman"/>
          <w:sz w:val="20"/>
        </w:rPr>
        <w:t xml:space="preserve"> ludźmi. Jak możesz wyróżnić te dwa aspekty Boga w relacji do Jego stworzeń? Przeczytaj Rdz 1,1; 12,1 zanim odpowiesz.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2. Iz 41 ukazuje Boga na różne sposoby. Pan jest „Świętym Izraelskim”, Odkupicielem, Stwórcą i Królem. Który z tych tytułów ma największe znaczenie dla ciebie i dlaczego?</w:t>
      </w:r>
    </w:p>
    <w:p w:rsidR="0024201E" w:rsidRPr="00EF6A2C" w:rsidRDefault="0024201E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4B532A" w:rsidRPr="00EF6A2C" w:rsidRDefault="004B532A" w:rsidP="0024201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sectPr w:rsidR="004B532A" w:rsidRPr="00EF6A2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07D" w:rsidRDefault="001D207D" w:rsidP="00A820C9">
      <w:r>
        <w:separator/>
      </w:r>
    </w:p>
  </w:endnote>
  <w:endnote w:type="continuationSeparator" w:id="0">
    <w:p w:rsidR="001D207D" w:rsidRDefault="001D207D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D207D">
          <w:rPr>
            <w:rFonts w:ascii="Times New Roman" w:hAnsi="Times New Roman"/>
            <w:noProof/>
            <w:sz w:val="16"/>
            <w:szCs w:val="16"/>
          </w:rPr>
          <w:t>1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07D" w:rsidRDefault="001D207D" w:rsidP="00A820C9">
      <w:r>
        <w:separator/>
      </w:r>
    </w:p>
  </w:footnote>
  <w:footnote w:type="continuationSeparator" w:id="0">
    <w:p w:rsidR="001D207D" w:rsidRDefault="001D207D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B7" w:rsidRPr="00E86CB7" w:rsidRDefault="00A97ECA" w:rsidP="00E86CB7">
    <w:pPr>
      <w:tabs>
        <w:tab w:val="left" w:pos="567"/>
      </w:tabs>
      <w:ind w:left="567" w:firstLine="0"/>
      <w:rPr>
        <w:rFonts w:ascii="Times New Roman" w:hAnsi="Times New Roman"/>
        <w:i/>
        <w:iCs/>
        <w:sz w:val="16"/>
        <w:szCs w:val="16"/>
      </w:rPr>
    </w:pPr>
    <w:r w:rsidRPr="00E86CB7">
      <w:rPr>
        <w:rFonts w:ascii="Times New Roman" w:hAnsi="Times New Roman"/>
        <w:sz w:val="16"/>
        <w:szCs w:val="16"/>
      </w:rPr>
      <w:t>Lekcje Biblijne</w:t>
    </w:r>
    <w:r w:rsidR="00E86CB7" w:rsidRPr="00E86CB7">
      <w:rPr>
        <w:rFonts w:ascii="Times New Roman" w:hAnsi="Times New Roman"/>
        <w:sz w:val="16"/>
        <w:szCs w:val="16"/>
      </w:rPr>
      <w:t>1</w:t>
    </w:r>
    <w:r w:rsidRPr="00E86CB7">
      <w:rPr>
        <w:rFonts w:ascii="Times New Roman" w:hAnsi="Times New Roman"/>
        <w:sz w:val="16"/>
        <w:szCs w:val="16"/>
      </w:rPr>
      <w:t>/202</w:t>
    </w:r>
    <w:r w:rsidR="00E86CB7" w:rsidRPr="00E86CB7">
      <w:rPr>
        <w:rFonts w:ascii="Times New Roman" w:hAnsi="Times New Roman"/>
        <w:sz w:val="16"/>
        <w:szCs w:val="16"/>
      </w:rPr>
      <w:t>1</w:t>
    </w:r>
    <w:r w:rsidR="00D143E6">
      <w:rPr>
        <w:rFonts w:ascii="Times New Roman" w:hAnsi="Times New Roman"/>
        <w:sz w:val="16"/>
        <w:szCs w:val="16"/>
      </w:rPr>
      <w:t xml:space="preserve">, </w:t>
    </w:r>
    <w:r w:rsidR="00E86CB7" w:rsidRPr="00E86CB7">
      <w:rPr>
        <w:rFonts w:ascii="Times New Roman" w:hAnsi="Times New Roman"/>
        <w:bCs/>
        <w:sz w:val="16"/>
        <w:szCs w:val="16"/>
        <w:lang w:val="en-GB"/>
      </w:rPr>
      <w:t xml:space="preserve">Roy E. Gane, </w:t>
    </w:r>
    <w:r w:rsidR="00E86CB7" w:rsidRPr="00E86CB7">
      <w:rPr>
        <w:rFonts w:ascii="Times New Roman" w:hAnsi="Times New Roman"/>
        <w:i/>
        <w:iCs/>
        <w:sz w:val="16"/>
        <w:szCs w:val="16"/>
      </w:rPr>
      <w:t>Księga Izajasza, „Pocieszajcie mój lud”</w:t>
    </w:r>
  </w:p>
  <w:p w:rsidR="00E86CB7" w:rsidRPr="00262399" w:rsidRDefault="00E86CB7" w:rsidP="00E86CB7">
    <w:pPr>
      <w:tabs>
        <w:tab w:val="left" w:pos="567"/>
      </w:tabs>
      <w:rPr>
        <w:rFonts w:ascii="Times New Roman" w:hAnsi="Times New Roman"/>
        <w:i/>
        <w:sz w:val="16"/>
      </w:rPr>
    </w:pPr>
    <w:r w:rsidRPr="00E86CB7">
      <w:rPr>
        <w:rFonts w:ascii="Times New Roman" w:hAnsi="Times New Roman"/>
        <w:sz w:val="16"/>
      </w:rPr>
      <w:t>Przewodnik dla nauczycieli</w:t>
    </w:r>
    <w:r>
      <w:rPr>
        <w:rFonts w:ascii="Times New Roman" w:hAnsi="Times New Roman"/>
        <w:sz w:val="16"/>
      </w:rPr>
      <w:t xml:space="preserve">, lekcja </w:t>
    </w:r>
    <w:r w:rsidR="0024201E">
      <w:rPr>
        <w:rFonts w:ascii="Times New Roman" w:hAnsi="Times New Roman"/>
        <w:sz w:val="16"/>
      </w:rPr>
      <w:t>9</w:t>
    </w:r>
    <w:r>
      <w:rPr>
        <w:rFonts w:ascii="Times New Roman" w:hAnsi="Times New Roman"/>
        <w:sz w:val="16"/>
      </w:rPr>
      <w:t xml:space="preserve">, </w:t>
    </w:r>
    <w:r w:rsidR="004B532A">
      <w:rPr>
        <w:rFonts w:ascii="Times New Roman" w:hAnsi="Times New Roman"/>
        <w:i/>
        <w:sz w:val="16"/>
      </w:rPr>
      <w:t>„</w:t>
    </w:r>
    <w:r w:rsidR="0024201E">
      <w:rPr>
        <w:rFonts w:ascii="Times New Roman" w:hAnsi="Times New Roman"/>
        <w:i/>
        <w:sz w:val="16"/>
      </w:rPr>
      <w:t>Służyć i zbawiać</w:t>
    </w:r>
    <w:r w:rsidR="004B532A">
      <w:rPr>
        <w:rFonts w:ascii="Times New Roman" w:hAnsi="Times New Roman"/>
        <w:i/>
        <w:sz w:val="16"/>
      </w:rPr>
      <w:t>”</w:t>
    </w:r>
    <w:r w:rsidR="00262399" w:rsidRPr="00262399">
      <w:rPr>
        <w:rFonts w:ascii="Times New Roman" w:hAnsi="Times New Roman"/>
        <w:i/>
        <w:sz w:val="16"/>
      </w:rPr>
      <w:t xml:space="preserve"> </w:t>
    </w:r>
    <w:r w:rsidR="00D143E6" w:rsidRPr="00262399">
      <w:rPr>
        <w:rFonts w:ascii="Times New Roman" w:hAnsi="Times New Roman"/>
        <w:i/>
        <w:sz w:val="16"/>
      </w:rPr>
      <w:t xml:space="preserve"> </w:t>
    </w:r>
    <w:r w:rsidR="00E7674E" w:rsidRPr="00262399">
      <w:rPr>
        <w:rFonts w:ascii="Times New Roman" w:hAnsi="Times New Roman"/>
        <w:i/>
        <w:sz w:val="16"/>
      </w:rPr>
      <w:t xml:space="preserve"> </w:t>
    </w:r>
  </w:p>
  <w:p w:rsidR="00A97ECA" w:rsidRPr="00AA0514" w:rsidRDefault="00A97ECA" w:rsidP="00E86CB7">
    <w:pPr>
      <w:tabs>
        <w:tab w:val="left" w:pos="5751"/>
      </w:tabs>
      <w:rPr>
        <w:rFonts w:ascii="Times New Roman" w:hAnsi="Times New Roman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57"/>
    <w:rsid w:val="00006FBF"/>
    <w:rsid w:val="0002114D"/>
    <w:rsid w:val="000314C7"/>
    <w:rsid w:val="000520B7"/>
    <w:rsid w:val="00057016"/>
    <w:rsid w:val="00057F7D"/>
    <w:rsid w:val="000601FC"/>
    <w:rsid w:val="0006177B"/>
    <w:rsid w:val="000626C5"/>
    <w:rsid w:val="00063209"/>
    <w:rsid w:val="00071DD3"/>
    <w:rsid w:val="00073013"/>
    <w:rsid w:val="0008053E"/>
    <w:rsid w:val="00084D07"/>
    <w:rsid w:val="00095BF6"/>
    <w:rsid w:val="000A7CAE"/>
    <w:rsid w:val="000B4665"/>
    <w:rsid w:val="000C39FA"/>
    <w:rsid w:val="000C43D8"/>
    <w:rsid w:val="000D0B43"/>
    <w:rsid w:val="000E37F9"/>
    <w:rsid w:val="000E3D8C"/>
    <w:rsid w:val="00130250"/>
    <w:rsid w:val="00131D4E"/>
    <w:rsid w:val="001344DC"/>
    <w:rsid w:val="00160A2E"/>
    <w:rsid w:val="001634CA"/>
    <w:rsid w:val="00172E60"/>
    <w:rsid w:val="001900C2"/>
    <w:rsid w:val="001A14AD"/>
    <w:rsid w:val="001A64A1"/>
    <w:rsid w:val="001B6CB1"/>
    <w:rsid w:val="001D207D"/>
    <w:rsid w:val="001F3AB8"/>
    <w:rsid w:val="00211923"/>
    <w:rsid w:val="0024201E"/>
    <w:rsid w:val="00247ECF"/>
    <w:rsid w:val="00256C0B"/>
    <w:rsid w:val="00262399"/>
    <w:rsid w:val="002646E2"/>
    <w:rsid w:val="0027003D"/>
    <w:rsid w:val="0028485A"/>
    <w:rsid w:val="002A1958"/>
    <w:rsid w:val="002C1A03"/>
    <w:rsid w:val="002C4FFF"/>
    <w:rsid w:val="002D1C21"/>
    <w:rsid w:val="002F38CF"/>
    <w:rsid w:val="002F7A06"/>
    <w:rsid w:val="003233CA"/>
    <w:rsid w:val="00323F87"/>
    <w:rsid w:val="0033532F"/>
    <w:rsid w:val="00341D7B"/>
    <w:rsid w:val="00350868"/>
    <w:rsid w:val="003562CF"/>
    <w:rsid w:val="00357FBB"/>
    <w:rsid w:val="00362A7E"/>
    <w:rsid w:val="0036462B"/>
    <w:rsid w:val="003A4695"/>
    <w:rsid w:val="003B7F2E"/>
    <w:rsid w:val="003C11EC"/>
    <w:rsid w:val="003C5237"/>
    <w:rsid w:val="003D1F71"/>
    <w:rsid w:val="003D35FF"/>
    <w:rsid w:val="003E5187"/>
    <w:rsid w:val="00404868"/>
    <w:rsid w:val="00411F03"/>
    <w:rsid w:val="00422C48"/>
    <w:rsid w:val="0043366A"/>
    <w:rsid w:val="0044128C"/>
    <w:rsid w:val="00457757"/>
    <w:rsid w:val="004622A1"/>
    <w:rsid w:val="004765D6"/>
    <w:rsid w:val="004A07EB"/>
    <w:rsid w:val="004A1F71"/>
    <w:rsid w:val="004A68C6"/>
    <w:rsid w:val="004B532A"/>
    <w:rsid w:val="004D072B"/>
    <w:rsid w:val="004E2DE9"/>
    <w:rsid w:val="004F7F95"/>
    <w:rsid w:val="00504576"/>
    <w:rsid w:val="00512C47"/>
    <w:rsid w:val="005205E4"/>
    <w:rsid w:val="00521F52"/>
    <w:rsid w:val="00535F72"/>
    <w:rsid w:val="00547F5F"/>
    <w:rsid w:val="005537F3"/>
    <w:rsid w:val="0055562E"/>
    <w:rsid w:val="005675D2"/>
    <w:rsid w:val="0058262E"/>
    <w:rsid w:val="0058625A"/>
    <w:rsid w:val="005B5CE3"/>
    <w:rsid w:val="005C0E8B"/>
    <w:rsid w:val="005C7E3B"/>
    <w:rsid w:val="005D58BF"/>
    <w:rsid w:val="005E01EF"/>
    <w:rsid w:val="005F1934"/>
    <w:rsid w:val="005F4946"/>
    <w:rsid w:val="00602B6F"/>
    <w:rsid w:val="00615FE6"/>
    <w:rsid w:val="006237C5"/>
    <w:rsid w:val="006254DA"/>
    <w:rsid w:val="00632A41"/>
    <w:rsid w:val="0063445E"/>
    <w:rsid w:val="0066123D"/>
    <w:rsid w:val="006657A7"/>
    <w:rsid w:val="00673C79"/>
    <w:rsid w:val="00680F75"/>
    <w:rsid w:val="00685F14"/>
    <w:rsid w:val="00690562"/>
    <w:rsid w:val="006A77D5"/>
    <w:rsid w:val="00725650"/>
    <w:rsid w:val="00727749"/>
    <w:rsid w:val="0074017C"/>
    <w:rsid w:val="007608BA"/>
    <w:rsid w:val="0076232D"/>
    <w:rsid w:val="00767D8E"/>
    <w:rsid w:val="007812DA"/>
    <w:rsid w:val="00785516"/>
    <w:rsid w:val="0079785B"/>
    <w:rsid w:val="007C0F83"/>
    <w:rsid w:val="007E39EB"/>
    <w:rsid w:val="007F2BD7"/>
    <w:rsid w:val="008202AD"/>
    <w:rsid w:val="00845363"/>
    <w:rsid w:val="008572DB"/>
    <w:rsid w:val="00870FEF"/>
    <w:rsid w:val="0087312A"/>
    <w:rsid w:val="008A4CC9"/>
    <w:rsid w:val="008A5882"/>
    <w:rsid w:val="008C1F5B"/>
    <w:rsid w:val="008C694D"/>
    <w:rsid w:val="008E0114"/>
    <w:rsid w:val="008E1633"/>
    <w:rsid w:val="009039D9"/>
    <w:rsid w:val="00903AB3"/>
    <w:rsid w:val="00904615"/>
    <w:rsid w:val="00933C8E"/>
    <w:rsid w:val="00934141"/>
    <w:rsid w:val="009378A8"/>
    <w:rsid w:val="00947D49"/>
    <w:rsid w:val="00971A12"/>
    <w:rsid w:val="00974B48"/>
    <w:rsid w:val="0097572F"/>
    <w:rsid w:val="00980C54"/>
    <w:rsid w:val="0099242B"/>
    <w:rsid w:val="00997535"/>
    <w:rsid w:val="009A6521"/>
    <w:rsid w:val="009A7A43"/>
    <w:rsid w:val="009C3EC3"/>
    <w:rsid w:val="009D20F6"/>
    <w:rsid w:val="009E786E"/>
    <w:rsid w:val="009F11FB"/>
    <w:rsid w:val="009F74C4"/>
    <w:rsid w:val="00A03AF6"/>
    <w:rsid w:val="00A06761"/>
    <w:rsid w:val="00A10178"/>
    <w:rsid w:val="00A1594B"/>
    <w:rsid w:val="00A22AA7"/>
    <w:rsid w:val="00A249C3"/>
    <w:rsid w:val="00A32AA6"/>
    <w:rsid w:val="00A372AD"/>
    <w:rsid w:val="00A41678"/>
    <w:rsid w:val="00A45D17"/>
    <w:rsid w:val="00A47A53"/>
    <w:rsid w:val="00A501CB"/>
    <w:rsid w:val="00A51056"/>
    <w:rsid w:val="00A55737"/>
    <w:rsid w:val="00A74F83"/>
    <w:rsid w:val="00A81F1D"/>
    <w:rsid w:val="00A820C9"/>
    <w:rsid w:val="00A85D90"/>
    <w:rsid w:val="00A974E6"/>
    <w:rsid w:val="00A97ECA"/>
    <w:rsid w:val="00AA0514"/>
    <w:rsid w:val="00AA336A"/>
    <w:rsid w:val="00AC3205"/>
    <w:rsid w:val="00AD4D5B"/>
    <w:rsid w:val="00AD7194"/>
    <w:rsid w:val="00B12BA8"/>
    <w:rsid w:val="00B27439"/>
    <w:rsid w:val="00B32C6C"/>
    <w:rsid w:val="00B42BF8"/>
    <w:rsid w:val="00B5045B"/>
    <w:rsid w:val="00B53BCA"/>
    <w:rsid w:val="00B608AC"/>
    <w:rsid w:val="00B70608"/>
    <w:rsid w:val="00BA5879"/>
    <w:rsid w:val="00BD0104"/>
    <w:rsid w:val="00BE5836"/>
    <w:rsid w:val="00C045AF"/>
    <w:rsid w:val="00C14432"/>
    <w:rsid w:val="00C2619A"/>
    <w:rsid w:val="00C34141"/>
    <w:rsid w:val="00C42F81"/>
    <w:rsid w:val="00C44AC9"/>
    <w:rsid w:val="00C539F9"/>
    <w:rsid w:val="00C61B5B"/>
    <w:rsid w:val="00C711AB"/>
    <w:rsid w:val="00C85D32"/>
    <w:rsid w:val="00CA1F88"/>
    <w:rsid w:val="00CB2110"/>
    <w:rsid w:val="00CB571A"/>
    <w:rsid w:val="00CD55B6"/>
    <w:rsid w:val="00CD6B02"/>
    <w:rsid w:val="00CE4997"/>
    <w:rsid w:val="00CE7CCE"/>
    <w:rsid w:val="00CF2F3B"/>
    <w:rsid w:val="00D0120F"/>
    <w:rsid w:val="00D143E6"/>
    <w:rsid w:val="00D17CAF"/>
    <w:rsid w:val="00D43CA9"/>
    <w:rsid w:val="00D460C5"/>
    <w:rsid w:val="00D5040D"/>
    <w:rsid w:val="00D5746C"/>
    <w:rsid w:val="00D67231"/>
    <w:rsid w:val="00D7222D"/>
    <w:rsid w:val="00DB7651"/>
    <w:rsid w:val="00DD7EA6"/>
    <w:rsid w:val="00DE0B9C"/>
    <w:rsid w:val="00DE5AB9"/>
    <w:rsid w:val="00DF1EA2"/>
    <w:rsid w:val="00E024F6"/>
    <w:rsid w:val="00E03075"/>
    <w:rsid w:val="00E274A1"/>
    <w:rsid w:val="00E32868"/>
    <w:rsid w:val="00E60CC8"/>
    <w:rsid w:val="00E74F52"/>
    <w:rsid w:val="00E7674E"/>
    <w:rsid w:val="00E86CB7"/>
    <w:rsid w:val="00E9226C"/>
    <w:rsid w:val="00E95C9D"/>
    <w:rsid w:val="00EB1FDE"/>
    <w:rsid w:val="00EB34DD"/>
    <w:rsid w:val="00F16358"/>
    <w:rsid w:val="00F2397B"/>
    <w:rsid w:val="00F40C65"/>
    <w:rsid w:val="00F42B0D"/>
    <w:rsid w:val="00F47047"/>
    <w:rsid w:val="00F5322D"/>
    <w:rsid w:val="00F711C9"/>
    <w:rsid w:val="00F757EC"/>
    <w:rsid w:val="00F86EBE"/>
    <w:rsid w:val="00F96322"/>
    <w:rsid w:val="00FB0002"/>
    <w:rsid w:val="00FC280C"/>
    <w:rsid w:val="00FF1219"/>
    <w:rsid w:val="00FF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3BA48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1315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4</cp:revision>
  <cp:lastPrinted>2021-01-27T17:24:00Z</cp:lastPrinted>
  <dcterms:created xsi:type="dcterms:W3CDTF">2021-01-27T17:22:00Z</dcterms:created>
  <dcterms:modified xsi:type="dcterms:W3CDTF">2021-01-27T17:24:00Z</dcterms:modified>
</cp:coreProperties>
</file>