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16" w:rsidRPr="00DC643D" w:rsidRDefault="00832516" w:rsidP="00832516">
      <w:pPr>
        <w:rPr>
          <w:rFonts w:ascii="Times New Roman" w:hAnsi="Times New Roman"/>
          <w:sz w:val="22"/>
          <w:szCs w:val="22"/>
        </w:rPr>
      </w:pPr>
    </w:p>
    <w:p w:rsidR="00832516" w:rsidRPr="00DC643D" w:rsidRDefault="00832516" w:rsidP="00832516">
      <w:pPr>
        <w:rPr>
          <w:rFonts w:ascii="Times New Roman" w:hAnsi="Times New Roman"/>
          <w:sz w:val="22"/>
          <w:szCs w:val="22"/>
        </w:rPr>
      </w:pPr>
    </w:p>
    <w:p w:rsidR="00832516" w:rsidRPr="00DC643D" w:rsidRDefault="00832516" w:rsidP="00D93459">
      <w:pPr>
        <w:ind w:firstLine="0"/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 xml:space="preserve"> Lekcja </w:t>
      </w:r>
      <w:r w:rsidR="00DC643D" w:rsidRPr="00DC643D">
        <w:rPr>
          <w:rFonts w:ascii="Times New Roman" w:hAnsi="Times New Roman"/>
          <w:sz w:val="22"/>
          <w:szCs w:val="22"/>
        </w:rPr>
        <w:t>5</w:t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Pr="00DC643D">
        <w:rPr>
          <w:rFonts w:ascii="Times New Roman" w:hAnsi="Times New Roman"/>
          <w:sz w:val="22"/>
          <w:szCs w:val="22"/>
        </w:rPr>
        <w:tab/>
      </w:r>
      <w:r w:rsidR="00D93459" w:rsidRPr="00DC643D">
        <w:rPr>
          <w:rFonts w:ascii="Times New Roman" w:hAnsi="Times New Roman"/>
          <w:sz w:val="22"/>
          <w:szCs w:val="22"/>
        </w:rPr>
        <w:tab/>
      </w:r>
      <w:r w:rsidR="00DC643D" w:rsidRPr="00DC643D">
        <w:rPr>
          <w:rFonts w:ascii="Times New Roman" w:hAnsi="Times New Roman"/>
          <w:sz w:val="22"/>
          <w:szCs w:val="22"/>
        </w:rPr>
        <w:t xml:space="preserve">3 sierpnia </w:t>
      </w:r>
    </w:p>
    <w:p w:rsidR="00832516" w:rsidRPr="00DC643D" w:rsidRDefault="00832516" w:rsidP="00832516">
      <w:pPr>
        <w:rPr>
          <w:rFonts w:ascii="Times New Roman" w:hAnsi="Times New Roman"/>
          <w:sz w:val="22"/>
          <w:szCs w:val="22"/>
        </w:rPr>
      </w:pPr>
    </w:p>
    <w:p w:rsidR="00D93459" w:rsidRPr="00DC643D" w:rsidRDefault="00DC643D" w:rsidP="00DC643D">
      <w:pPr>
        <w:jc w:val="center"/>
        <w:rPr>
          <w:rFonts w:ascii="Times New Roman" w:hAnsi="Times New Roman"/>
          <w:b/>
          <w:sz w:val="36"/>
          <w:szCs w:val="22"/>
        </w:rPr>
      </w:pPr>
      <w:r w:rsidRPr="00DC643D">
        <w:rPr>
          <w:rFonts w:ascii="Times New Roman" w:hAnsi="Times New Roman"/>
          <w:b/>
          <w:sz w:val="36"/>
          <w:szCs w:val="22"/>
        </w:rPr>
        <w:t>WOŁANIE PROROKÓW</w:t>
      </w:r>
    </w:p>
    <w:p w:rsidR="00DC643D" w:rsidRDefault="00DC643D" w:rsidP="00DC643D">
      <w:pPr>
        <w:rPr>
          <w:rFonts w:ascii="Times New Roman" w:hAnsi="Times New Roman"/>
          <w:b/>
          <w:bCs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>PRZEGLĄD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Starotestamentowi prorocy często postrzegali sami siebie jako strażników na murach Syjonu. Byli zazdrośni o dobro ludu Bożego i starali się ostrzegać wiernych przed niebezpieczeństwa zewnętrznymi i wewnętrznymi. Byli powołani przez Boga, by wołać o sprawiedliwość i ogłaszać sąd Boży. Ten obowiązek był poważnie traktowany przez proroków takich jak Ezechiel, który otrzymał wyraźny rozkaz: „</w:t>
      </w:r>
      <w:r w:rsidRPr="00DC643D">
        <w:rPr>
          <w:rFonts w:ascii="Times New Roman" w:hAnsi="Times New Roman"/>
          <w:color w:val="000000"/>
          <w:sz w:val="22"/>
          <w:szCs w:val="22"/>
        </w:rPr>
        <w:t>Synu człowieczy: Na stróża domu izraelskiego cię powołałem! Ilekroć usłyszysz słowo z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DC643D">
        <w:rPr>
          <w:rFonts w:ascii="Times New Roman" w:hAnsi="Times New Roman"/>
          <w:color w:val="000000"/>
          <w:sz w:val="22"/>
          <w:szCs w:val="22"/>
        </w:rPr>
        <w:t xml:space="preserve"> moich ust, ostrzeż ich w moim imieniu. Jeżeli powiem do bezbożnego: Na pewno umrzesz, a ty go nie ostrzeżesz i nic nie powiesz, aby bezbożnego ostrzec przed jego bezbożną drogą tak, abyś uratował jego życie, wtedy ten bezbożny umrze z powodu swojej winy, ale Ja uczynię cię odpowiedzialnym za jego krew. Lecz jeżeli ty ostrzeżesz bezbożnego, a on nie odwróci się od swojej bezbożności i od swojej bezbożnej drogi, wtedy on umrze z powodu swojej winy, a ty uratujesz swoją duszę</w:t>
      </w:r>
      <w:r w:rsidRPr="00DC643D">
        <w:rPr>
          <w:rFonts w:ascii="Times New Roman" w:hAnsi="Times New Roman"/>
          <w:sz w:val="22"/>
          <w:szCs w:val="22"/>
        </w:rPr>
        <w:t>” (</w:t>
      </w:r>
      <w:proofErr w:type="spellStart"/>
      <w:r w:rsidRPr="00DC643D">
        <w:rPr>
          <w:rFonts w:ascii="Times New Roman" w:hAnsi="Times New Roman"/>
          <w:sz w:val="22"/>
          <w:szCs w:val="22"/>
        </w:rPr>
        <w:t>Ez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3,17-19).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 xml:space="preserve">Ta lekcja uświadamia nam wytrwałość Boga, z jaką wzywał On swój lud do sprawiedliwości. Lekcja otwiera nam oczy na reformy społeczne i duchowe, do których wzywali prorocy tacy jak: (1) prorok-pasterz Amos, który wzywał ludzi do prawości i sprawiedliwości, (2) </w:t>
      </w:r>
      <w:proofErr w:type="spellStart"/>
      <w:r w:rsidRPr="00DC643D">
        <w:rPr>
          <w:rFonts w:ascii="Times New Roman" w:hAnsi="Times New Roman"/>
          <w:sz w:val="22"/>
          <w:szCs w:val="22"/>
        </w:rPr>
        <w:t>Michesz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, którego przesłanie do </w:t>
      </w:r>
      <w:proofErr w:type="spellStart"/>
      <w:r w:rsidRPr="00DC643D">
        <w:rPr>
          <w:rFonts w:ascii="Times New Roman" w:hAnsi="Times New Roman"/>
          <w:sz w:val="22"/>
          <w:szCs w:val="22"/>
        </w:rPr>
        <w:t>Achaza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zostało dane w czasie, gdy królestwo upadło na samo dno pod względem prawości, (3) Ezechiel, który przemawiał do wygnańców w Babilonii i (4) Izajasz, który wzywał lud do życia mesjańską nadzieją dla sprawiedliwych. A gdzie są dzisiaj głosy wzywające do prawości i miłosierdzia?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>CEL NAUCZYCIELA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Wezwij uczestników lekcji do przyłączenia się do głosów wciąż wzywających do prawości zgodnie z tradycją starotestamentowych proroków.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>KOMENTARZ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Ilustracja: </w:t>
      </w:r>
      <w:r w:rsidRPr="00DC643D">
        <w:rPr>
          <w:rFonts w:ascii="Times New Roman" w:hAnsi="Times New Roman"/>
          <w:sz w:val="22"/>
          <w:szCs w:val="22"/>
        </w:rPr>
        <w:t>Obrońcy prawości rzadko byli tak bardzo potrzebni jak w czasach niewolnictwa w</w:t>
      </w:r>
      <w:r>
        <w:rPr>
          <w:rFonts w:ascii="Times New Roman" w:hAnsi="Times New Roman"/>
          <w:sz w:val="22"/>
          <w:szCs w:val="22"/>
        </w:rPr>
        <w:t> </w:t>
      </w:r>
      <w:r w:rsidRPr="00DC643D">
        <w:rPr>
          <w:rFonts w:ascii="Times New Roman" w:hAnsi="Times New Roman"/>
          <w:sz w:val="22"/>
          <w:szCs w:val="22"/>
        </w:rPr>
        <w:t xml:space="preserve"> Ameryce, zwłaszcza po wojnie domowej w Stanach Zjednoczonych. Adwentyzm miał wówczas okazję wykazać, czy sprosta wyzwaniom czasu i zaangażuje się poważnie w służbę na rzecz swoich czarnoskórych braci i sióstr. </w:t>
      </w:r>
      <w:proofErr w:type="spellStart"/>
      <w:r w:rsidRPr="00DC643D">
        <w:rPr>
          <w:rFonts w:ascii="Times New Roman" w:hAnsi="Times New Roman"/>
          <w:sz w:val="22"/>
          <w:szCs w:val="22"/>
        </w:rPr>
        <w:t>Delbert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Baker w swojej serii </w:t>
      </w:r>
      <w:r w:rsidRPr="00DC643D">
        <w:rPr>
          <w:rFonts w:ascii="Times New Roman" w:hAnsi="Times New Roman"/>
          <w:i/>
          <w:iCs/>
          <w:sz w:val="22"/>
          <w:szCs w:val="22"/>
        </w:rPr>
        <w:t xml:space="preserve">In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Search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 of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Roots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: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Adventist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African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Americans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przedstawia ten zwrotny punkt w dziejach adwentyzmu: „Zdecydowanym punktem zwrotnym w działalności Kościoła na rzecz czarnoskórych był rok 1892, kiedy 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White skierowała do wyznawców historyczne przesłanie zatytułowane «Nasz obowiązek wobec ludzi kolorowych». Zostało ono wygłoszone do delegatów na XXIX Zjazd Generalnej Konferencji odbywający się w Battle </w:t>
      </w:r>
      <w:proofErr w:type="spellStart"/>
      <w:r w:rsidRPr="00DC643D">
        <w:rPr>
          <w:rFonts w:ascii="Times New Roman" w:hAnsi="Times New Roman"/>
          <w:sz w:val="22"/>
          <w:szCs w:val="22"/>
        </w:rPr>
        <w:t>Creek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w stanie Michigan. 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White twierdziła, że po latach zaniedbań Kościół nie może ignorować swoich obowiązków względem czarnej rasy nie narażając się na Boże niezadowolenie. W pełni świadoma kontrowersyjnego charakteru swojego przesłania, powiedziała: «Wiem, że to, co teraz mówię, narazi mnie na konflikt. Nie pragnę tego, bo konfliktów mam dość w ostatnich latach, ale nie zamierzam żyć jak tchórz ani umierać jak tchórz, zostawiając niewykonane dzieło. Muszę iść w ślady mojego Nauczyciela»”.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Do omówienia w klasie: </w:t>
      </w:r>
      <w:r w:rsidRPr="00DC643D">
        <w:rPr>
          <w:rFonts w:ascii="Times New Roman" w:hAnsi="Times New Roman"/>
          <w:sz w:val="22"/>
          <w:szCs w:val="22"/>
        </w:rPr>
        <w:t xml:space="preserve">Ciekawe, że 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G. White utożsamiała tchórzostwo, a zatem także odwagę, jako wynik dynamiki biblijnej prawości. Jakie kwestie związane z biblijną prawością wymagają „odwagi” dzisiaj w twoim lokalnym kontekście?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 w:rsidRPr="00DC643D">
        <w:rPr>
          <w:rFonts w:ascii="Times New Roman" w:hAnsi="Times New Roman"/>
          <w:i/>
          <w:iCs/>
          <w:sz w:val="22"/>
          <w:szCs w:val="22"/>
        </w:rPr>
        <w:t>Biblia</w:t>
      </w:r>
      <w:r w:rsidRPr="00DC643D">
        <w:rPr>
          <w:rFonts w:ascii="Times New Roman" w:hAnsi="Times New Roman"/>
          <w:sz w:val="22"/>
          <w:szCs w:val="22"/>
        </w:rPr>
        <w:t xml:space="preserve"> wskazuje „orientację na innych”. Ta zasada jest widoczna w dziele pełnionym przez biblijnych proroków. Prorocy byli obrońcami pokrzywdzonych. Nie byli zajęci wyłącznie własnymi sprawami. Przeciwnie, wstawiali się za innych, przekonywali, modlili się </w:t>
      </w:r>
      <w:r w:rsidRPr="00DC643D">
        <w:rPr>
          <w:rFonts w:ascii="Times New Roman" w:hAnsi="Times New Roman"/>
          <w:sz w:val="22"/>
          <w:szCs w:val="22"/>
        </w:rPr>
        <w:lastRenderedPageBreak/>
        <w:t>i</w:t>
      </w:r>
      <w:r>
        <w:rPr>
          <w:rFonts w:ascii="Times New Roman" w:hAnsi="Times New Roman"/>
          <w:sz w:val="22"/>
          <w:szCs w:val="22"/>
        </w:rPr>
        <w:t> </w:t>
      </w:r>
      <w:r w:rsidRPr="00DC643D">
        <w:rPr>
          <w:rFonts w:ascii="Times New Roman" w:hAnsi="Times New Roman"/>
          <w:sz w:val="22"/>
          <w:szCs w:val="22"/>
        </w:rPr>
        <w:t xml:space="preserve"> protestowali dla innych. Przemawiali w imieniu tych, którzy nie mieli głosu albo byli uciszani, kiedy słusznie protestowali. Występowanie w cudzej obronie ma na celu troskę o dobro i jakość życia ludzkości.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Czasami członkowie Kościoła unikają angażowania się w protestowanie i obronę w obawie przed posądzeniem o zaangażowanie polityczne. Przeczytaj Jr 22,1-3.13-17. Jeremiasz, jeszcze jeden prorok-obrońca, wstawiał się za uciskanymi przed przywódcami w swoich czasach. Przeczytaj poniższy cytat Jana Paulsena i omów, co z niego wynika: „Istnieje znacząca różnica między zabieraniem głosu w</w:t>
      </w:r>
      <w:r>
        <w:rPr>
          <w:rFonts w:ascii="Times New Roman" w:hAnsi="Times New Roman"/>
          <w:sz w:val="22"/>
          <w:szCs w:val="22"/>
        </w:rPr>
        <w:t> </w:t>
      </w:r>
      <w:r w:rsidRPr="00DC643D">
        <w:rPr>
          <w:rFonts w:ascii="Times New Roman" w:hAnsi="Times New Roman"/>
          <w:sz w:val="22"/>
          <w:szCs w:val="22"/>
        </w:rPr>
        <w:t xml:space="preserve"> publicznej dyskusji a dążeniem do posiadania politycznej władzy. Jako Kościół i poszczególne osoby mamy nie tylko prawo, ale i obowiązek być moralnym głosem społeczeństwa, przemawiać wyraźnie i</w:t>
      </w:r>
      <w:r>
        <w:rPr>
          <w:rFonts w:ascii="Times New Roman" w:hAnsi="Times New Roman"/>
          <w:sz w:val="22"/>
          <w:szCs w:val="22"/>
        </w:rPr>
        <w:t> </w:t>
      </w:r>
      <w:r w:rsidRPr="00DC643D">
        <w:rPr>
          <w:rFonts w:ascii="Times New Roman" w:hAnsi="Times New Roman"/>
          <w:sz w:val="22"/>
          <w:szCs w:val="22"/>
        </w:rPr>
        <w:t xml:space="preserve"> elokwentnie o tym, co dotyczy naszych wartości. Prawa człowieka, wolność religijna, zdrowie publiczne, bieda i niesprawiedliwość - to niektóre z dziedzin, w których mamy dany przez Boga obowiązek bronić tych, którzy nie są w stanie bronić się sami” (Jan Paulsen, „</w:t>
      </w:r>
      <w:proofErr w:type="spellStart"/>
      <w:r w:rsidRPr="00DC643D">
        <w:rPr>
          <w:rFonts w:ascii="Times New Roman" w:hAnsi="Times New Roman"/>
          <w:sz w:val="22"/>
          <w:szCs w:val="22"/>
        </w:rPr>
        <w:t>Serving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sz w:val="22"/>
          <w:szCs w:val="22"/>
        </w:rPr>
        <w:t>Our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World, </w:t>
      </w:r>
      <w:proofErr w:type="spellStart"/>
      <w:r w:rsidRPr="00DC643D">
        <w:rPr>
          <w:rFonts w:ascii="Times New Roman" w:hAnsi="Times New Roman"/>
          <w:sz w:val="22"/>
          <w:szCs w:val="22"/>
        </w:rPr>
        <w:t>Serving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sz w:val="22"/>
          <w:szCs w:val="22"/>
        </w:rPr>
        <w:t>Our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Lord”,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Adventist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World</w:t>
      </w:r>
      <w:r w:rsidRPr="00DC643D">
        <w:rPr>
          <w:rFonts w:ascii="Times New Roman" w:hAnsi="Times New Roman"/>
          <w:sz w:val="22"/>
          <w:szCs w:val="22"/>
        </w:rPr>
        <w:t>, NAD Edition, 5/2007</w:t>
      </w:r>
      <w:r w:rsidRPr="00DC643D">
        <w:rPr>
          <w:rFonts w:ascii="Times New Roman" w:hAnsi="Times New Roman"/>
          <w:bCs/>
          <w:sz w:val="22"/>
          <w:szCs w:val="22"/>
        </w:rPr>
        <w:t xml:space="preserve">, s. </w:t>
      </w:r>
      <w:r w:rsidRPr="00DC643D">
        <w:rPr>
          <w:rFonts w:ascii="Times New Roman" w:hAnsi="Times New Roman"/>
          <w:sz w:val="22"/>
          <w:szCs w:val="22"/>
        </w:rPr>
        <w:t>9-10).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 w:rsidRPr="00DC643D">
        <w:rPr>
          <w:rFonts w:ascii="Times New Roman" w:hAnsi="Times New Roman"/>
          <w:sz w:val="22"/>
          <w:szCs w:val="22"/>
        </w:rPr>
        <w:t xml:space="preserve">Poproś uczestników lekcji, by na zmianę przeczytali dodatkowe wersety z </w:t>
      </w:r>
      <w:r w:rsidRPr="00DC643D">
        <w:rPr>
          <w:rFonts w:ascii="Times New Roman" w:hAnsi="Times New Roman"/>
          <w:i/>
          <w:iCs/>
          <w:sz w:val="22"/>
          <w:szCs w:val="22"/>
        </w:rPr>
        <w:t>Księgi Amosa</w:t>
      </w:r>
      <w:r w:rsidRPr="00DC643D">
        <w:rPr>
          <w:rFonts w:ascii="Times New Roman" w:hAnsi="Times New Roman"/>
          <w:sz w:val="22"/>
          <w:szCs w:val="22"/>
        </w:rPr>
        <w:t xml:space="preserve">, </w:t>
      </w:r>
      <w:r w:rsidRPr="00DC643D">
        <w:rPr>
          <w:rFonts w:ascii="Times New Roman" w:hAnsi="Times New Roman"/>
          <w:i/>
          <w:iCs/>
          <w:sz w:val="22"/>
          <w:szCs w:val="22"/>
        </w:rPr>
        <w:t xml:space="preserve">Księgi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Micheasza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, </w:t>
      </w:r>
      <w:r w:rsidRPr="00DC643D">
        <w:rPr>
          <w:rFonts w:ascii="Times New Roman" w:hAnsi="Times New Roman"/>
          <w:i/>
          <w:iCs/>
          <w:sz w:val="22"/>
          <w:szCs w:val="22"/>
        </w:rPr>
        <w:t>Księgi Ezechiela</w:t>
      </w:r>
      <w:r w:rsidRPr="00DC643D">
        <w:rPr>
          <w:rFonts w:ascii="Times New Roman" w:hAnsi="Times New Roman"/>
          <w:sz w:val="22"/>
          <w:szCs w:val="22"/>
        </w:rPr>
        <w:t xml:space="preserve"> i </w:t>
      </w:r>
      <w:r w:rsidRPr="00DC643D">
        <w:rPr>
          <w:rFonts w:ascii="Times New Roman" w:hAnsi="Times New Roman"/>
          <w:i/>
          <w:iCs/>
          <w:sz w:val="22"/>
          <w:szCs w:val="22"/>
        </w:rPr>
        <w:t>Księgi Izajasza</w:t>
      </w:r>
      <w:r w:rsidRPr="00DC643D">
        <w:rPr>
          <w:rFonts w:ascii="Times New Roman" w:hAnsi="Times New Roman"/>
          <w:sz w:val="22"/>
          <w:szCs w:val="22"/>
        </w:rPr>
        <w:t>. Jak fragmenty te są związane z bronieniem słabych? Obok odnośników podane zostały wskazówki do komentarza nauczyciela.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1. Am 5,21-24. Choć Bóg ustanowił święta religijne i rytuały, o których mowa w tych wersetach, to jednak był bardziej zainteresowany tym, jak traktujemy ludzi wokół nas stworzonych na Jego obraz. Co Bóg miłuje i w czym ma upodobanie? Zob. Iz 61,8; Jr 9,24.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2. Mi 6,1-5. W tych wersetach prorok występuje w sprawie Pana, jako Jego obrońca, w sądowej scenie wobec wzgórz i gór będących świadkami (Mi 6,1-2). Kiedy Bóg nadał prawo moralne (</w:t>
      </w:r>
      <w:proofErr w:type="spellStart"/>
      <w:r w:rsidRPr="00DC643D">
        <w:rPr>
          <w:rFonts w:ascii="Times New Roman" w:hAnsi="Times New Roman"/>
          <w:sz w:val="22"/>
          <w:szCs w:val="22"/>
        </w:rPr>
        <w:t>Wj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20), także obecne były przy tym wzgórza i góry. W Mi 6,6-7 czytamy retoryczne pytania </w:t>
      </w:r>
      <w:proofErr w:type="spellStart"/>
      <w:r w:rsidRPr="00DC643D">
        <w:rPr>
          <w:rFonts w:ascii="Times New Roman" w:hAnsi="Times New Roman"/>
          <w:sz w:val="22"/>
          <w:szCs w:val="22"/>
        </w:rPr>
        <w:t>Micheasza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skierowane do ludu. Znajdź odpowiedzi na te retoryczne pytania w 1 Sm 15,22. Następnie przeczytaj Mi 6,8 - to, co przeoczył lud Boży. Ich duchowa ślepota doprowadziła do tego, że ofiarowali Bogu wszystko z wyjątkiem tego, czego naprawdę pragnął - zaangażowania serca przekładającego się na postępowanie (zob. </w:t>
      </w:r>
      <w:proofErr w:type="spellStart"/>
      <w:r w:rsidRPr="00DC643D">
        <w:rPr>
          <w:rFonts w:ascii="Times New Roman" w:hAnsi="Times New Roman"/>
          <w:sz w:val="22"/>
          <w:szCs w:val="22"/>
        </w:rPr>
        <w:t>Pwt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10,12-19; Mt 22,37-39). Więcej o przedkładaniu płytkiej religijności nad prawdziwe uduchowienie zob. 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G. White, </w:t>
      </w:r>
      <w:r w:rsidRPr="00DC643D">
        <w:rPr>
          <w:rFonts w:ascii="Times New Roman" w:hAnsi="Times New Roman"/>
          <w:i/>
          <w:iCs/>
          <w:sz w:val="22"/>
          <w:szCs w:val="22"/>
        </w:rPr>
        <w:t>Życie Jezusa</w:t>
      </w:r>
      <w:r w:rsidRPr="00DC643D">
        <w:rPr>
          <w:rFonts w:ascii="Times New Roman" w:hAnsi="Times New Roman"/>
          <w:sz w:val="22"/>
          <w:szCs w:val="22"/>
        </w:rPr>
        <w:t>, Warszawa 2018, wyd. 16, s. 291).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 xml:space="preserve">3. </w:t>
      </w:r>
      <w:proofErr w:type="spellStart"/>
      <w:r w:rsidRPr="00DC643D">
        <w:rPr>
          <w:rFonts w:ascii="Times New Roman" w:hAnsi="Times New Roman"/>
          <w:sz w:val="22"/>
          <w:szCs w:val="22"/>
        </w:rPr>
        <w:t>Ez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16,49-52. W porównaniu z Judą Sodoma i Samaria jawiły się jako bardziej niewinne. Zazwyczaj bardziej przejmujemy się grzesznymi czynami. Mt 25,41-46 mówi jasno, że grzechy zaniechania prostych przejawów miłości bliźniego nie zostaną przeoczone na sądzi. „</w:t>
      </w:r>
      <w:r w:rsidRPr="00DC643D">
        <w:rPr>
          <w:rFonts w:ascii="Times New Roman" w:hAnsi="Times New Roman"/>
          <w:color w:val="000000"/>
          <w:sz w:val="22"/>
          <w:szCs w:val="22"/>
        </w:rPr>
        <w:t>Kto więc umie dobrze czynić, a nie czyni, dopuszcza się grzechu</w:t>
      </w:r>
      <w:r w:rsidRPr="00DC643D">
        <w:rPr>
          <w:rFonts w:ascii="Times New Roman" w:hAnsi="Times New Roman"/>
          <w:sz w:val="22"/>
          <w:szCs w:val="22"/>
        </w:rPr>
        <w:t>” (</w:t>
      </w:r>
      <w:proofErr w:type="spellStart"/>
      <w:r w:rsidRPr="00DC643D">
        <w:rPr>
          <w:rFonts w:ascii="Times New Roman" w:hAnsi="Times New Roman"/>
          <w:sz w:val="22"/>
          <w:szCs w:val="22"/>
        </w:rPr>
        <w:t>Jk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4,17; zob. Francis D. </w:t>
      </w:r>
      <w:proofErr w:type="spellStart"/>
      <w:r w:rsidRPr="00DC643D">
        <w:rPr>
          <w:rFonts w:ascii="Times New Roman" w:hAnsi="Times New Roman"/>
          <w:sz w:val="22"/>
          <w:szCs w:val="22"/>
        </w:rPr>
        <w:t>Nichol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, red., </w:t>
      </w:r>
      <w:r w:rsidRPr="00DC643D">
        <w:rPr>
          <w:rFonts w:ascii="Times New Roman" w:hAnsi="Times New Roman"/>
          <w:i/>
          <w:sz w:val="22"/>
          <w:szCs w:val="22"/>
        </w:rPr>
        <w:t xml:space="preserve">The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Seventh-day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Adventist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Bible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Commentary</w:t>
      </w:r>
      <w:proofErr w:type="spellEnd"/>
      <w:r w:rsidRPr="00DC643D">
        <w:rPr>
          <w:rFonts w:ascii="Times New Roman" w:hAnsi="Times New Roman"/>
          <w:sz w:val="22"/>
          <w:szCs w:val="22"/>
        </w:rPr>
        <w:t>, Waszyngton 1977, t. 4</w:t>
      </w:r>
      <w:r w:rsidRPr="00DC643D">
        <w:rPr>
          <w:rFonts w:ascii="Times New Roman" w:hAnsi="Times New Roman"/>
          <w:bCs/>
          <w:sz w:val="22"/>
          <w:szCs w:val="22"/>
        </w:rPr>
        <w:t xml:space="preserve">, s. </w:t>
      </w:r>
      <w:r w:rsidRPr="00DC643D">
        <w:rPr>
          <w:rFonts w:ascii="Times New Roman" w:hAnsi="Times New Roman"/>
          <w:sz w:val="22"/>
          <w:szCs w:val="22"/>
        </w:rPr>
        <w:t>631-632).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4. Iz 59,2-4.8-9.14-16. Bóg mówi, że winy i grzechy Jego ludu odłączyły ich od Niego. Wśród tych grzechów było nadużycie prawości w kraju, takie jak uciskanie ubogich. Bóg był oburzony tym, że nikt nie wstawiał się za nimi i nie piętnował tego grzechu (Iz 59,16). Grzech jest przestępstwem Bożego prawa miłości i prawości (1 J 3,4).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Do omówienia w klasie: </w:t>
      </w:r>
      <w:r w:rsidRPr="00DC643D">
        <w:rPr>
          <w:rFonts w:ascii="Times New Roman" w:hAnsi="Times New Roman"/>
          <w:sz w:val="22"/>
          <w:szCs w:val="22"/>
        </w:rPr>
        <w:t>W jaki sposób możemy przyłączyć się do proroków i całym sercem, całościowo pomóc naszemu Kościołowi w wypełnianiu jego misji, której częścią jest obrona ubogich (Iz 59,16)?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 w:rsidRPr="00DC643D">
        <w:rPr>
          <w:rFonts w:ascii="Times New Roman" w:hAnsi="Times New Roman"/>
          <w:sz w:val="22"/>
          <w:szCs w:val="22"/>
        </w:rPr>
        <w:t>Zasady podane w Mi 6,8 sięgają poza formalne nabożeństwo (ofiar całopalne itd.) ku trzem zasadom stanowiącym sedno „tego, co jest dobre”: (1) „wypełnianiu prawa”, (2) „okazywaniu miłości bratniej” i (3) „obcowaniu w pokorze z Bogiem”. Pierwsze dwie zasady dotyczą poziomych relacji międzyludzkich, a trzecia - pionowej relacji człowieka z Bogiem (</w:t>
      </w:r>
      <w:r w:rsidRPr="00DC643D">
        <w:rPr>
          <w:rFonts w:ascii="Times New Roman" w:hAnsi="Times New Roman"/>
          <w:i/>
          <w:sz w:val="22"/>
          <w:szCs w:val="22"/>
        </w:rPr>
        <w:t xml:space="preserve">Andrews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Study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Bible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C643D">
        <w:rPr>
          <w:rFonts w:ascii="Times New Roman" w:hAnsi="Times New Roman"/>
          <w:sz w:val="22"/>
          <w:szCs w:val="22"/>
        </w:rPr>
        <w:t>Berrien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Springs 2010</w:t>
      </w:r>
      <w:r w:rsidRPr="00DC643D">
        <w:rPr>
          <w:rFonts w:ascii="Times New Roman" w:hAnsi="Times New Roman"/>
          <w:bCs/>
          <w:sz w:val="22"/>
          <w:szCs w:val="22"/>
        </w:rPr>
        <w:t xml:space="preserve">, s. </w:t>
      </w:r>
      <w:r w:rsidRPr="00DC643D">
        <w:rPr>
          <w:rFonts w:ascii="Times New Roman" w:hAnsi="Times New Roman"/>
          <w:sz w:val="22"/>
          <w:szCs w:val="22"/>
        </w:rPr>
        <w:t xml:space="preserve">1188). Obcowanie w </w:t>
      </w:r>
      <w:r w:rsidRPr="00DC643D">
        <w:rPr>
          <w:rFonts w:ascii="Times New Roman" w:hAnsi="Times New Roman"/>
          <w:i/>
          <w:iCs/>
          <w:sz w:val="22"/>
          <w:szCs w:val="22"/>
        </w:rPr>
        <w:t>pokorze</w:t>
      </w:r>
      <w:r w:rsidRPr="00DC643D">
        <w:rPr>
          <w:rFonts w:ascii="Times New Roman" w:hAnsi="Times New Roman"/>
          <w:sz w:val="22"/>
          <w:szCs w:val="22"/>
        </w:rPr>
        <w:t xml:space="preserve"> z Bogiem wpływa na nasze poziome relacje z ludźmi, gdyż Bóg pomaga nam odzwierciedlać wobec ludzi Jego prawy i miłosierny charakter.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Ilustracja: </w:t>
      </w:r>
      <w:r w:rsidRPr="00DC643D">
        <w:rPr>
          <w:rFonts w:ascii="Times New Roman" w:hAnsi="Times New Roman"/>
          <w:sz w:val="22"/>
          <w:szCs w:val="22"/>
        </w:rPr>
        <w:t xml:space="preserve">Brytyjski kaznodzieja William E. </w:t>
      </w:r>
      <w:proofErr w:type="spellStart"/>
      <w:r w:rsidRPr="00DC643D">
        <w:rPr>
          <w:rFonts w:ascii="Times New Roman" w:hAnsi="Times New Roman"/>
          <w:sz w:val="22"/>
          <w:szCs w:val="22"/>
        </w:rPr>
        <w:t>Sangster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zadał pytanie: „Czy można być dobrym i</w:t>
      </w:r>
      <w:r>
        <w:rPr>
          <w:rFonts w:ascii="Times New Roman" w:hAnsi="Times New Roman"/>
          <w:sz w:val="22"/>
          <w:szCs w:val="22"/>
        </w:rPr>
        <w:t> </w:t>
      </w:r>
      <w:r w:rsidRPr="00DC643D">
        <w:rPr>
          <w:rFonts w:ascii="Times New Roman" w:hAnsi="Times New Roman"/>
          <w:sz w:val="22"/>
          <w:szCs w:val="22"/>
        </w:rPr>
        <w:t xml:space="preserve"> niereligijnych albo religijnym i niedobrym?” (Clyde E. Fant, Jr., i William M. Pinson, Jr., </w:t>
      </w:r>
      <w:r w:rsidRPr="00DC643D">
        <w:rPr>
          <w:rFonts w:ascii="Times New Roman" w:hAnsi="Times New Roman"/>
          <w:i/>
          <w:sz w:val="22"/>
          <w:szCs w:val="22"/>
        </w:rPr>
        <w:t xml:space="preserve">20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Centuries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of Great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Preaching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, t. 11,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Maier</w:t>
      </w:r>
      <w:proofErr w:type="spellEnd"/>
      <w:r w:rsidRPr="00DC643D">
        <w:rPr>
          <w:rFonts w:ascii="Times New Roman" w:hAnsi="Times New Roman"/>
          <w:i/>
          <w:sz w:val="22"/>
          <w:szCs w:val="22"/>
        </w:rPr>
        <w:t xml:space="preserve"> to </w:t>
      </w:r>
      <w:proofErr w:type="spellStart"/>
      <w:r w:rsidRPr="00DC643D">
        <w:rPr>
          <w:rFonts w:ascii="Times New Roman" w:hAnsi="Times New Roman"/>
          <w:i/>
          <w:sz w:val="22"/>
          <w:szCs w:val="22"/>
        </w:rPr>
        <w:t>Sangster</w:t>
      </w:r>
      <w:proofErr w:type="spellEnd"/>
      <w:r w:rsidRPr="00DC643D">
        <w:rPr>
          <w:rFonts w:ascii="Times New Roman" w:hAnsi="Times New Roman"/>
          <w:sz w:val="22"/>
          <w:szCs w:val="22"/>
        </w:rPr>
        <w:t>, Waco 1971</w:t>
      </w:r>
      <w:r w:rsidRPr="00DC643D">
        <w:rPr>
          <w:rFonts w:ascii="Times New Roman" w:hAnsi="Times New Roman"/>
          <w:bCs/>
          <w:sz w:val="22"/>
          <w:szCs w:val="22"/>
        </w:rPr>
        <w:t xml:space="preserve">, s. </w:t>
      </w:r>
      <w:r w:rsidRPr="00DC643D">
        <w:rPr>
          <w:rFonts w:ascii="Times New Roman" w:hAnsi="Times New Roman"/>
          <w:sz w:val="22"/>
          <w:szCs w:val="22"/>
        </w:rPr>
        <w:t xml:space="preserve">345). Niektórzy twierdzą, że są dobrzy </w:t>
      </w:r>
      <w:r w:rsidRPr="00DC643D">
        <w:rPr>
          <w:rFonts w:ascii="Times New Roman" w:hAnsi="Times New Roman"/>
          <w:sz w:val="22"/>
          <w:szCs w:val="22"/>
        </w:rPr>
        <w:lastRenderedPageBreak/>
        <w:t>i</w:t>
      </w:r>
      <w:r>
        <w:rPr>
          <w:rFonts w:ascii="Times New Roman" w:hAnsi="Times New Roman"/>
          <w:sz w:val="22"/>
          <w:szCs w:val="22"/>
        </w:rPr>
        <w:t xml:space="preserve">  </w:t>
      </w:r>
      <w:r w:rsidRPr="00DC643D">
        <w:rPr>
          <w:rFonts w:ascii="Times New Roman" w:hAnsi="Times New Roman"/>
          <w:sz w:val="22"/>
          <w:szCs w:val="22"/>
        </w:rPr>
        <w:t>przyzwoici bez potrzeby uciekania się do religii. Na przykład, przypominają nam o wszystkich niesamolubnych i prawych działaniach, jakie podejmują, i twierdzą, że cała ta dobroć jest dokonywana przez cotygodniowego karmienia się nabożeństwem i kazaniem. Ale czy rzeczywiście religię i</w:t>
      </w:r>
      <w:r>
        <w:rPr>
          <w:rFonts w:ascii="Times New Roman" w:hAnsi="Times New Roman"/>
          <w:sz w:val="22"/>
          <w:szCs w:val="22"/>
        </w:rPr>
        <w:t> </w:t>
      </w:r>
      <w:bookmarkStart w:id="0" w:name="_GoBack"/>
      <w:bookmarkEnd w:id="0"/>
      <w:r w:rsidRPr="00DC643D">
        <w:rPr>
          <w:rFonts w:ascii="Times New Roman" w:hAnsi="Times New Roman"/>
          <w:sz w:val="22"/>
          <w:szCs w:val="22"/>
        </w:rPr>
        <w:t xml:space="preserve"> moralność da się rozdzielić?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proofErr w:type="spellStart"/>
      <w:r w:rsidRPr="00DC643D">
        <w:rPr>
          <w:rFonts w:ascii="Times New Roman" w:hAnsi="Times New Roman"/>
          <w:sz w:val="22"/>
          <w:szCs w:val="22"/>
        </w:rPr>
        <w:t>Sangster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w jednym ze swoich kazań zatytułowanych „Dobry bez Boga” na podstawie Mi 6,8 wskazuje, że ludzie cytowani jako „dobrzy bez Boga” często w szczególnym sensie są produktem wiary, którą sami postanowili pogardzać. Podstawy ich charakteru zostały oparte na bezpośrednim chrześcijańskim wpływie. Jednym z wielu przykładów takich osób jest Sir Samuel </w:t>
      </w:r>
      <w:proofErr w:type="spellStart"/>
      <w:r w:rsidRPr="00DC643D">
        <w:rPr>
          <w:rFonts w:ascii="Times New Roman" w:hAnsi="Times New Roman"/>
          <w:sz w:val="22"/>
          <w:szCs w:val="22"/>
        </w:rPr>
        <w:t>Romilly</w:t>
      </w:r>
      <w:proofErr w:type="spellEnd"/>
      <w:r w:rsidRPr="00DC643D">
        <w:rPr>
          <w:rFonts w:ascii="Times New Roman" w:hAnsi="Times New Roman"/>
          <w:sz w:val="22"/>
          <w:szCs w:val="22"/>
        </w:rPr>
        <w:t>, który odrzucił chrześcijańska wiarę, ale przyczynił się w znacznym stopniu do wprowadzenia humanitarnych warunków w angielskich więzieniach. Był rzeczywiście dobrym człowiekiem, choć nie był religijny. Jednak jego biograf wyraźnie zaznacza, że był on wnukiem hugenockich uchodźców z Francji, którzy uciekli do obcego kraju, by móc wyznawać swoją wiarę w Boga. Sir Samuel wychował się w rodzinie, w której Chrystusa stawiano na pierwszym miejscu, a jego charakter, dzięki któremu opowiadał się za sprawiedliwością i miłosierdziem, został ukształtowany właśnie w dzieciństwie i młodości (tamże</w:t>
      </w:r>
      <w:r w:rsidRPr="00DC643D">
        <w:rPr>
          <w:rFonts w:ascii="Times New Roman" w:hAnsi="Times New Roman"/>
          <w:bCs/>
          <w:sz w:val="22"/>
          <w:szCs w:val="22"/>
        </w:rPr>
        <w:t xml:space="preserve">, s. </w:t>
      </w:r>
      <w:r w:rsidRPr="00DC643D">
        <w:rPr>
          <w:rFonts w:ascii="Times New Roman" w:hAnsi="Times New Roman"/>
          <w:sz w:val="22"/>
          <w:szCs w:val="22"/>
        </w:rPr>
        <w:t>346-349).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>PRAKTYCZNE ZASTOSOWANIE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 xml:space="preserve">Proroczy głos 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G. White raz po raz przemawiał wyraźnie na rzecz sprawiedliwości. Przeczytaj w klasie następujący cytat: „Wielu lekceważy przejawy zła, o których wiedzą, a jednocześnie uważa się za wolnych od wszelkiej odpowiedzialności w tej sprawie. Tak być nie może. Każdy wywiera wpływ na społeczeństwo” (</w:t>
      </w:r>
      <w:proofErr w:type="spellStart"/>
      <w:r w:rsidRPr="00DC643D">
        <w:rPr>
          <w:rFonts w:ascii="Times New Roman" w:hAnsi="Times New Roman"/>
          <w:sz w:val="22"/>
          <w:szCs w:val="22"/>
        </w:rPr>
        <w:t>Ellen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G. White w: </w:t>
      </w:r>
      <w:r w:rsidRPr="00DC643D">
        <w:rPr>
          <w:rFonts w:ascii="Times New Roman" w:hAnsi="Times New Roman"/>
          <w:i/>
          <w:iCs/>
          <w:sz w:val="22"/>
          <w:szCs w:val="22"/>
        </w:rPr>
        <w:t xml:space="preserve">The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Advent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 and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Sabbath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643D">
        <w:rPr>
          <w:rFonts w:ascii="Times New Roman" w:hAnsi="Times New Roman"/>
          <w:i/>
          <w:iCs/>
          <w:sz w:val="22"/>
          <w:szCs w:val="22"/>
        </w:rPr>
        <w:t>Review</w:t>
      </w:r>
      <w:proofErr w:type="spellEnd"/>
      <w:r w:rsidRPr="00DC643D">
        <w:rPr>
          <w:rFonts w:ascii="Times New Roman" w:hAnsi="Times New Roman"/>
          <w:i/>
          <w:iCs/>
          <w:sz w:val="22"/>
          <w:szCs w:val="22"/>
        </w:rPr>
        <w:t xml:space="preserve"> and Herald</w:t>
      </w:r>
      <w:r w:rsidRPr="00DC643D">
        <w:rPr>
          <w:rFonts w:ascii="Times New Roman" w:hAnsi="Times New Roman"/>
          <w:sz w:val="22"/>
          <w:szCs w:val="22"/>
        </w:rPr>
        <w:t>, 15.10.1914).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>Omów realistyczne i świadome kroki, jakie każdy z uczestników lekcji może podjąć w celu wypełniania Bożego powołania w aktywnym „wywieraniu wpływu na społeczeństwo”.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sz w:val="22"/>
          <w:szCs w:val="22"/>
        </w:rPr>
        <w:t xml:space="preserve">W dziejach Kościoła Adwentystycznego kładziono rolę na eschatologiczną rolę proroków. Jednocześnie </w:t>
      </w:r>
      <w:r w:rsidRPr="00DC643D">
        <w:rPr>
          <w:rFonts w:ascii="Times New Roman" w:hAnsi="Times New Roman"/>
          <w:i/>
          <w:iCs/>
          <w:sz w:val="22"/>
          <w:szCs w:val="22"/>
        </w:rPr>
        <w:t>Pismo Święte</w:t>
      </w:r>
      <w:r w:rsidRPr="00DC643D">
        <w:rPr>
          <w:rFonts w:ascii="Times New Roman" w:hAnsi="Times New Roman"/>
          <w:sz w:val="22"/>
          <w:szCs w:val="22"/>
        </w:rPr>
        <w:t xml:space="preserve"> wskazuje inny istotny wymiar służby proroków, a zatem także Kościoła - powołanie Boga dla Jego ludu do działania zgodnego ze społeczno-ekonomicznymi i etycznymi Bożymi zasadami. Jezus rozwinął te zasady w Mt 5,7-48 oraz podsumował je w Mt 22,35-40 i </w:t>
      </w:r>
      <w:proofErr w:type="spellStart"/>
      <w:r w:rsidRPr="00DC643D">
        <w:rPr>
          <w:rFonts w:ascii="Times New Roman" w:hAnsi="Times New Roman"/>
          <w:sz w:val="22"/>
          <w:szCs w:val="22"/>
        </w:rPr>
        <w:t>Łk</w:t>
      </w:r>
      <w:proofErr w:type="spellEnd"/>
      <w:r w:rsidRPr="00DC643D">
        <w:rPr>
          <w:rFonts w:ascii="Times New Roman" w:hAnsi="Times New Roman"/>
          <w:sz w:val="22"/>
          <w:szCs w:val="22"/>
        </w:rPr>
        <w:t xml:space="preserve"> 10,27.</w:t>
      </w: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</w:p>
    <w:p w:rsidR="00DC643D" w:rsidRPr="00DC643D" w:rsidRDefault="00DC643D" w:rsidP="00DC643D">
      <w:pPr>
        <w:rPr>
          <w:rFonts w:ascii="Times New Roman" w:hAnsi="Times New Roman"/>
          <w:sz w:val="22"/>
          <w:szCs w:val="22"/>
        </w:rPr>
      </w:pPr>
      <w:r w:rsidRPr="00DC643D">
        <w:rPr>
          <w:rFonts w:ascii="Times New Roman" w:hAnsi="Times New Roman"/>
          <w:b/>
          <w:bCs/>
          <w:sz w:val="22"/>
          <w:szCs w:val="22"/>
        </w:rPr>
        <w:t xml:space="preserve">Do omówienia w klasie: </w:t>
      </w:r>
      <w:r w:rsidRPr="00DC643D">
        <w:rPr>
          <w:rFonts w:ascii="Times New Roman" w:hAnsi="Times New Roman"/>
          <w:sz w:val="22"/>
          <w:szCs w:val="22"/>
        </w:rPr>
        <w:t xml:space="preserve">Jak możemy równoważyć ważną rolę ogłaszania przyszłych wydarzeń poprzedzających powtórne przyjście Jezusa oraz wzywanie ludzi do przestrzegania danych przez Boga zasad pomagania potrzebującym, opartych na </w:t>
      </w:r>
      <w:r w:rsidRPr="00DC643D">
        <w:rPr>
          <w:rFonts w:ascii="Times New Roman" w:hAnsi="Times New Roman"/>
          <w:i/>
          <w:iCs/>
          <w:sz w:val="22"/>
          <w:szCs w:val="22"/>
        </w:rPr>
        <w:t>Prawie</w:t>
      </w:r>
      <w:r w:rsidRPr="00DC643D">
        <w:rPr>
          <w:rFonts w:ascii="Times New Roman" w:hAnsi="Times New Roman"/>
          <w:sz w:val="22"/>
          <w:szCs w:val="22"/>
        </w:rPr>
        <w:t xml:space="preserve"> i </w:t>
      </w:r>
      <w:r w:rsidRPr="00DC643D">
        <w:rPr>
          <w:rFonts w:ascii="Times New Roman" w:hAnsi="Times New Roman"/>
          <w:i/>
          <w:iCs/>
          <w:sz w:val="22"/>
          <w:szCs w:val="22"/>
        </w:rPr>
        <w:t>Prorokach</w:t>
      </w:r>
      <w:r w:rsidRPr="00DC643D">
        <w:rPr>
          <w:rFonts w:ascii="Times New Roman" w:hAnsi="Times New Roman"/>
          <w:sz w:val="22"/>
          <w:szCs w:val="22"/>
        </w:rPr>
        <w:t>, wzorowanych na życiu i służbie największego z wszystkich proroków - Jezusa Chrystusa? Jak możemy odzwierciedlać te zasady jako Kościół? Poproś uczestników lekcji, by opowiedzieli, jak osobiście głoszą i stosują tę ważną, nierzadko niedocenianą część „wiecznej ewangelii” obok głoszenia dobrej nowiny o powtórnym przyjściu Jezusa.</w:t>
      </w:r>
    </w:p>
    <w:p w:rsidR="00AA3F4B" w:rsidRPr="00DC643D" w:rsidRDefault="00676902" w:rsidP="00DC643D">
      <w:pPr>
        <w:ind w:firstLine="0"/>
        <w:jc w:val="left"/>
        <w:rPr>
          <w:rFonts w:ascii="Times New Roman" w:hAnsi="Times New Roman"/>
          <w:sz w:val="22"/>
          <w:szCs w:val="22"/>
        </w:rPr>
      </w:pPr>
    </w:p>
    <w:sectPr w:rsidR="00AA3F4B" w:rsidRPr="00DC64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02" w:rsidRDefault="00676902" w:rsidP="00832516">
      <w:r>
        <w:separator/>
      </w:r>
    </w:p>
  </w:endnote>
  <w:endnote w:type="continuationSeparator" w:id="0">
    <w:p w:rsidR="00676902" w:rsidRDefault="00676902" w:rsidP="0083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-144667605"/>
      <w:docPartObj>
        <w:docPartGallery w:val="Page Numbers (Bottom of Page)"/>
        <w:docPartUnique/>
      </w:docPartObj>
    </w:sdtPr>
    <w:sdtEndPr/>
    <w:sdtContent>
      <w:p w:rsidR="00D93459" w:rsidRPr="00D93459" w:rsidRDefault="00D93459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D93459">
          <w:rPr>
            <w:rFonts w:ascii="Times New Roman" w:hAnsi="Times New Roman"/>
            <w:sz w:val="16"/>
            <w:szCs w:val="16"/>
          </w:rPr>
          <w:fldChar w:fldCharType="begin"/>
        </w:r>
        <w:r w:rsidRPr="00D9345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D93459">
          <w:rPr>
            <w:rFonts w:ascii="Times New Roman" w:hAnsi="Times New Roman"/>
            <w:sz w:val="16"/>
            <w:szCs w:val="16"/>
          </w:rPr>
          <w:fldChar w:fldCharType="separate"/>
        </w:r>
        <w:r w:rsidR="00DC643D">
          <w:rPr>
            <w:rFonts w:ascii="Times New Roman" w:hAnsi="Times New Roman"/>
            <w:noProof/>
            <w:sz w:val="16"/>
            <w:szCs w:val="16"/>
          </w:rPr>
          <w:t>3</w:t>
        </w:r>
        <w:r w:rsidRPr="00D9345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FC3C91" w:rsidRPr="00D93459" w:rsidRDefault="00FC3C9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02" w:rsidRDefault="00676902" w:rsidP="00832516">
      <w:r>
        <w:separator/>
      </w:r>
    </w:p>
  </w:footnote>
  <w:footnote w:type="continuationSeparator" w:id="0">
    <w:p w:rsidR="00676902" w:rsidRDefault="00676902" w:rsidP="0083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59" w:rsidRPr="00D93459" w:rsidRDefault="00832516" w:rsidP="00D93459">
    <w:pPr>
      <w:rPr>
        <w:rFonts w:ascii="Times New Roman" w:hAnsi="Times New Roman"/>
        <w:sz w:val="22"/>
      </w:rPr>
    </w:pPr>
    <w:r w:rsidRPr="00A820C9">
      <w:rPr>
        <w:rFonts w:ascii="Times New Roman" w:hAnsi="Times New Roman"/>
        <w:sz w:val="16"/>
        <w:szCs w:val="16"/>
      </w:rPr>
      <w:t xml:space="preserve">Lekcje biblijne 3/19, Jonathan </w:t>
    </w:r>
    <w:proofErr w:type="spellStart"/>
    <w:r w:rsidRPr="00A820C9">
      <w:rPr>
        <w:rFonts w:ascii="Times New Roman" w:hAnsi="Times New Roman"/>
        <w:sz w:val="16"/>
        <w:szCs w:val="16"/>
      </w:rPr>
      <w:t>Duffy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A820C9">
      <w:rPr>
        <w:rFonts w:ascii="Times New Roman" w:hAnsi="Times New Roman"/>
        <w:sz w:val="16"/>
        <w:szCs w:val="16"/>
      </w:rPr>
      <w:t xml:space="preserve">„Jednemu z tych najmniejszych”. Służba potrzebującym. Lekcja </w:t>
    </w:r>
    <w:r w:rsidR="00DC643D">
      <w:rPr>
        <w:rFonts w:ascii="Times New Roman" w:hAnsi="Times New Roman"/>
        <w:sz w:val="16"/>
        <w:szCs w:val="16"/>
      </w:rPr>
      <w:t>5</w:t>
    </w:r>
  </w:p>
  <w:p w:rsidR="00D93459" w:rsidRPr="00D93459" w:rsidRDefault="00DC643D" w:rsidP="00D93459">
    <w:pPr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Wołanie proroków </w:t>
    </w:r>
  </w:p>
  <w:p w:rsidR="00832516" w:rsidRPr="00A820C9" w:rsidRDefault="00832516" w:rsidP="00832516">
    <w:pPr>
      <w:rPr>
        <w:rFonts w:ascii="Times New Roman" w:hAnsi="Times New Roman"/>
        <w:sz w:val="16"/>
        <w:szCs w:val="16"/>
      </w:rPr>
    </w:pPr>
  </w:p>
  <w:p w:rsidR="00832516" w:rsidRPr="00A820C9" w:rsidRDefault="00832516" w:rsidP="00832516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>Przewodnik dla nauczycieli</w:t>
    </w:r>
  </w:p>
  <w:p w:rsidR="00832516" w:rsidRDefault="00832516">
    <w:pPr>
      <w:pStyle w:val="Nagwek"/>
    </w:pPr>
  </w:p>
  <w:p w:rsidR="00832516" w:rsidRDefault="008325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A7"/>
    <w:rsid w:val="003A2918"/>
    <w:rsid w:val="003D3C5D"/>
    <w:rsid w:val="00676902"/>
    <w:rsid w:val="006B0BDA"/>
    <w:rsid w:val="007C1CA5"/>
    <w:rsid w:val="00832516"/>
    <w:rsid w:val="008D56C6"/>
    <w:rsid w:val="009D20F6"/>
    <w:rsid w:val="009D3EC0"/>
    <w:rsid w:val="00A259B1"/>
    <w:rsid w:val="00A501CB"/>
    <w:rsid w:val="00AD72E2"/>
    <w:rsid w:val="00C4327A"/>
    <w:rsid w:val="00D93459"/>
    <w:rsid w:val="00DB52A7"/>
    <w:rsid w:val="00DC643D"/>
    <w:rsid w:val="00FB3488"/>
    <w:rsid w:val="00F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6AD8"/>
  <w15:chartTrackingRefBased/>
  <w15:docId w15:val="{807A760B-7F51-4731-8880-1636CCA2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51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5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516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25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516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3</cp:revision>
  <dcterms:created xsi:type="dcterms:W3CDTF">2019-07-19T11:20:00Z</dcterms:created>
  <dcterms:modified xsi:type="dcterms:W3CDTF">2019-07-19T11:24:00Z</dcterms:modified>
</cp:coreProperties>
</file>