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579328F1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 </w:t>
      </w:r>
      <w:r w:rsidR="00B07460">
        <w:rPr>
          <w:rFonts w:ascii="Times New Roman" w:hAnsi="Times New Roman"/>
          <w:sz w:val="20"/>
        </w:rPr>
        <w:t>7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B07460">
        <w:rPr>
          <w:rFonts w:ascii="Times New Roman" w:hAnsi="Times New Roman"/>
          <w:sz w:val="20"/>
        </w:rPr>
        <w:t>14</w:t>
      </w:r>
      <w:r w:rsidR="00A67E46">
        <w:rPr>
          <w:rFonts w:ascii="Times New Roman" w:hAnsi="Times New Roman"/>
          <w:sz w:val="20"/>
        </w:rPr>
        <w:t xml:space="preserve"> maja</w:t>
      </w:r>
    </w:p>
    <w:p w14:paraId="78E2E118" w14:textId="3592C7FF" w:rsidR="00D746F4" w:rsidRPr="003E3A74" w:rsidRDefault="00A67E46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r w:rsidR="00B07460">
        <w:rPr>
          <w:rFonts w:ascii="Times New Roman" w:hAnsi="Times New Roman"/>
          <w:b/>
          <w:sz w:val="28"/>
          <w:szCs w:val="28"/>
        </w:rPr>
        <w:t>RZYMIERZE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07460">
        <w:rPr>
          <w:rFonts w:ascii="Times New Roman" w:hAnsi="Times New Roman"/>
          <w:b/>
          <w:sz w:val="28"/>
          <w:szCs w:val="28"/>
        </w:rPr>
        <w:t xml:space="preserve">Z </w:t>
      </w:r>
      <w:r>
        <w:rPr>
          <w:rFonts w:ascii="Times New Roman" w:hAnsi="Times New Roman"/>
          <w:b/>
          <w:sz w:val="28"/>
          <w:szCs w:val="28"/>
        </w:rPr>
        <w:t>ABRAHAM</w:t>
      </w:r>
      <w:r w:rsidR="00B07460">
        <w:rPr>
          <w:rFonts w:ascii="Times New Roman" w:hAnsi="Times New Roman"/>
          <w:b/>
          <w:sz w:val="28"/>
          <w:szCs w:val="28"/>
        </w:rPr>
        <w:t>EM</w:t>
      </w:r>
    </w:p>
    <w:p w14:paraId="46BBC094" w14:textId="77777777" w:rsidR="00B91A58" w:rsidRDefault="00B91A58" w:rsidP="00B91A58">
      <w:pPr>
        <w:rPr>
          <w:rFonts w:ascii="Times New Roman" w:eastAsiaTheme="minorHAnsi" w:hAnsi="Times New Roman"/>
          <w:b/>
          <w:bCs/>
          <w:sz w:val="20"/>
          <w:lang w:eastAsia="en-US"/>
        </w:rPr>
      </w:pPr>
    </w:p>
    <w:p w14:paraId="6E5A7A4A" w14:textId="77777777" w:rsidR="00A67E46" w:rsidRPr="00773E48" w:rsidRDefault="00A67E46" w:rsidP="00A67E46">
      <w:pPr>
        <w:rPr>
          <w:rFonts w:ascii="Times New Roman" w:eastAsiaTheme="minorHAnsi" w:hAnsi="Times New Roman"/>
          <w:sz w:val="20"/>
          <w:lang w:eastAsia="en-US"/>
        </w:rPr>
      </w:pPr>
    </w:p>
    <w:p w14:paraId="5B0F50FC" w14:textId="77777777" w:rsidR="00B07460" w:rsidRPr="00773E48" w:rsidRDefault="00B07460" w:rsidP="00B07460">
      <w:pPr>
        <w:rPr>
          <w:rFonts w:ascii="Times New Roman" w:eastAsiaTheme="minorHAnsi" w:hAnsi="Times New Roman"/>
          <w:iCs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bCs/>
          <w:sz w:val="20"/>
          <w:lang w:eastAsia="en-US"/>
        </w:rPr>
        <w:t>Tekst przewodni: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Rdz 15,6; 17,5; 18,23.</w:t>
      </w:r>
    </w:p>
    <w:p w14:paraId="75A2BB18" w14:textId="77777777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</w:p>
    <w:p w14:paraId="7EF088F7" w14:textId="77777777" w:rsidR="00B07460" w:rsidRPr="00773E48" w:rsidRDefault="00B07460" w:rsidP="00B07460">
      <w:pPr>
        <w:rPr>
          <w:rFonts w:ascii="Times New Roman" w:eastAsiaTheme="minorHAnsi" w:hAnsi="Times New Roman"/>
          <w:iCs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bCs/>
          <w:sz w:val="20"/>
          <w:lang w:eastAsia="en-US"/>
        </w:rPr>
        <w:t>Zakres studium: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 xml:space="preserve">Rdz 15-19; 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Rz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4,2-11; Am 4,11.</w:t>
      </w:r>
    </w:p>
    <w:p w14:paraId="6CC378AB" w14:textId="77777777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</w:p>
    <w:p w14:paraId="21F92B96" w14:textId="77777777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sz w:val="20"/>
          <w:lang w:eastAsia="en-US"/>
        </w:rPr>
        <w:t>Część I: Przegląd</w:t>
      </w:r>
    </w:p>
    <w:p w14:paraId="6F09EFE2" w14:textId="77777777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</w:p>
    <w:p w14:paraId="6B449B7F" w14:textId="5A15B533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bCs/>
          <w:sz w:val="20"/>
          <w:lang w:eastAsia="en-US"/>
        </w:rPr>
        <w:t>Wprowadzenie: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W tej części księgi ukazane zostało sedno religijnego doświadczenia Abrahama. Wtedy właśnie Bóg zawarł przymierze z Abramem - drugie Boże przymierze po przymierzu z Noem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6,18-9,20)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Przymierze z Abramem zawiera podobne wymagania jak te zawarte w przymierzu z Noem. Jak przymierze z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Noem, przymierze z Abramem zostało ustanowione w połączeniu z ceremonialną ofiarą oraz powiązane z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obietnicą syna i ojczyzny. Przymierze zostało potwierdzone znakiem. Przymierze z Abramem różni się jednak od przymierza z Noem i zawiera nowe elementy. Jest związane z dwiema ceremoniami ofiarnymi. Znakiem tego przymierza jest obrzezanie, a Abram otrzymał nowe imię - Abraham. Ponadto biblijna narracja zawiera dwa różne spojrzenia na to przymierze. Podczas gdy w przymierzu z Noem uwaga jest zwrócona na Boga, a osoba Noego jest na drugim miejscu, przymierze z Abramem uwzględnia także jego perspektywę, a więc przebieg tego przymierza rozwija się w bardziej skomplikowany sposób.</w:t>
      </w:r>
    </w:p>
    <w:p w14:paraId="420E54A4" w14:textId="77777777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</w:p>
    <w:p w14:paraId="3AD1FB02" w14:textId="77777777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sz w:val="20"/>
          <w:lang w:eastAsia="en-US"/>
        </w:rPr>
        <w:t>Tematy lekcji</w:t>
      </w:r>
    </w:p>
    <w:p w14:paraId="249756FE" w14:textId="480C94E8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1.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Napięcie wiary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Wiara Abrahama składała się z pytań i wątpliwości - Abraham wierzył Bogu wbrew sobie. Śmiech Abrahama był wyrazem ironii i podziwu. Modlitwa 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Abahama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do Boga wypływała z poddania się i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wyzwań.</w:t>
      </w:r>
    </w:p>
    <w:p w14:paraId="5CF10AE4" w14:textId="77777777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2.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Zasady gościnności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Troska Abrahama o nieznajomych gości jest przeciwieństwem nikczemności Sodomitów i ich postępowania wobec przybyszów.</w:t>
      </w:r>
    </w:p>
    <w:p w14:paraId="263BA4A5" w14:textId="77777777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3.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Pasja wstawiennictwa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Abraham wstawiał się za nikczemnymi mieszkańcami Sodomy, mając nadzieję, że znajdzie się tam dość sprawiedliwych, by odwrócić wyrok.</w:t>
      </w:r>
    </w:p>
    <w:p w14:paraId="59282349" w14:textId="77777777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</w:p>
    <w:p w14:paraId="73DE7D16" w14:textId="77777777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sz w:val="20"/>
          <w:lang w:eastAsia="en-US"/>
        </w:rPr>
        <w:t>Część II: Komentarz</w:t>
      </w:r>
    </w:p>
    <w:p w14:paraId="39719F77" w14:textId="77777777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</w:p>
    <w:p w14:paraId="56FF766A" w14:textId="5612789F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i/>
          <w:sz w:val="20"/>
          <w:lang w:eastAsia="en-US"/>
        </w:rPr>
        <w:t>Abram uwierzył Panu</w:t>
      </w:r>
      <w:r w:rsidRPr="00773E48">
        <w:rPr>
          <w:rFonts w:ascii="Times New Roman" w:eastAsiaTheme="minorHAnsi" w:hAnsi="Times New Roman"/>
          <w:sz w:val="20"/>
          <w:lang w:eastAsia="en-US"/>
        </w:rPr>
        <w:t>. Wiara Abrama poczęła się w lęku i trwała w wątpliwościach i pytaniach. Abram najbardziej bał się nieznanego, przyszłości, nad którą nie panował. Dlatego Abram polegał na teraźniejszości i</w:t>
      </w:r>
      <w:r w:rsidR="00386DF1">
        <w:rPr>
          <w:rFonts w:ascii="Times New Roman" w:eastAsiaTheme="minorHAnsi" w:hAnsi="Times New Roman"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sz w:val="20"/>
          <w:lang w:eastAsia="en-US"/>
        </w:rPr>
        <w:t xml:space="preserve">zamierzał uczynić swoim dziedzicem swego sługę </w:t>
      </w:r>
      <w:proofErr w:type="spellStart"/>
      <w:r w:rsidRPr="00773E48">
        <w:rPr>
          <w:rFonts w:ascii="Times New Roman" w:eastAsiaTheme="minorHAnsi" w:hAnsi="Times New Roman"/>
          <w:sz w:val="20"/>
          <w:lang w:eastAsia="en-US"/>
        </w:rPr>
        <w:t>Eliezera</w:t>
      </w:r>
      <w:proofErr w:type="spellEnd"/>
      <w:r w:rsidRPr="00773E48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15,2)</w:t>
      </w:r>
      <w:r w:rsidRPr="00773E48">
        <w:rPr>
          <w:rFonts w:ascii="Times New Roman" w:eastAsiaTheme="minorHAnsi" w:hAnsi="Times New Roman"/>
          <w:sz w:val="20"/>
          <w:lang w:eastAsia="en-US"/>
        </w:rPr>
        <w:t xml:space="preserve">. Zatem kiedy Bóg przemówił do Abrama, użył szeregu wyrażeń, które wskazują przyszłość. Wyrażenie „nie bój się” często jest kojarzone z obietnicą potomstwa. Ta sama obietnica przyszłości jest także zawarta w słowie </w:t>
      </w:r>
      <w:proofErr w:type="spellStart"/>
      <w:r w:rsidRPr="00773E48">
        <w:rPr>
          <w:rFonts w:ascii="Times New Roman" w:eastAsiaTheme="minorHAnsi" w:hAnsi="Times New Roman"/>
          <w:i/>
          <w:sz w:val="20"/>
          <w:lang w:eastAsia="en-US"/>
        </w:rPr>
        <w:t>magen</w:t>
      </w:r>
      <w:proofErr w:type="spellEnd"/>
      <w:r w:rsidRPr="00773E48">
        <w:rPr>
          <w:rFonts w:ascii="Times New Roman" w:eastAsiaTheme="minorHAnsi" w:hAnsi="Times New Roman"/>
          <w:sz w:val="20"/>
          <w:lang w:eastAsia="en-US"/>
        </w:rPr>
        <w:t xml:space="preserve">, „tarcza”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15,1)</w:t>
      </w:r>
      <w:r w:rsidRPr="00773E48">
        <w:rPr>
          <w:rFonts w:ascii="Times New Roman" w:eastAsiaTheme="minorHAnsi" w:hAnsi="Times New Roman"/>
          <w:sz w:val="20"/>
          <w:lang w:eastAsia="en-US"/>
        </w:rPr>
        <w:t xml:space="preserve">, które jest echem czasownika </w:t>
      </w:r>
      <w:proofErr w:type="spellStart"/>
      <w:r w:rsidRPr="00773E48">
        <w:rPr>
          <w:rFonts w:ascii="Times New Roman" w:eastAsiaTheme="minorHAnsi" w:hAnsi="Times New Roman"/>
          <w:i/>
          <w:sz w:val="20"/>
          <w:lang w:eastAsia="en-US"/>
        </w:rPr>
        <w:t>magan</w:t>
      </w:r>
      <w:proofErr w:type="spellEnd"/>
      <w:r w:rsidRPr="00773E48">
        <w:rPr>
          <w:rFonts w:ascii="Times New Roman" w:eastAsiaTheme="minorHAnsi" w:hAnsi="Times New Roman"/>
          <w:sz w:val="20"/>
          <w:lang w:eastAsia="en-US"/>
        </w:rPr>
        <w:t xml:space="preserve">, „wydać”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14,20)</w:t>
      </w:r>
      <w:r w:rsidRPr="00773E48">
        <w:rPr>
          <w:rFonts w:ascii="Times New Roman" w:eastAsiaTheme="minorHAnsi" w:hAnsi="Times New Roman"/>
          <w:sz w:val="20"/>
          <w:lang w:eastAsia="en-US"/>
        </w:rPr>
        <w:t>, użytego w związku z odniesionym zwycięstwem. Tak więc Bóg, który uratował Abrama w przeszłości, jest Bogiem, który uratuje go w przyszłości. Wizja Boga jako jego przyszłości budziła w Abramie wiarę w przyszłość: „Abram uwierzył”.</w:t>
      </w:r>
    </w:p>
    <w:p w14:paraId="216EA6B6" w14:textId="2935B21E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Hebrajski czasownik 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he’emin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„uwierzyć”, opisuje coś więcej niż emocjonalny czy mentalny proces albo wierzenie. W języku hebrajskim „uwierzenie” zawiera element więzi wskazany w temacie </w:t>
      </w:r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’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aman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„pewny”, „wiarygodny”. Polegając na Bogu, Abram „uwierzył”, że będzie miał potomstwo. Tę wiarę Bóg „poczytał” mu jako „sprawiedliwość”. Innymi słowy, Bóg „zaliczył” tę wiarę jako mającą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wartość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równą wartości sprawiedliwości. Ten pogląd ma sens na tle starożytnych egipskich wierzeń. Podczas gdy starożytni Egipcjanie wierzyli, że waga ludzkiej 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sprawieliwości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jest oceniana na podstawie ludzkich uczynków w porównaniu z wagą 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Maat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>, boskiej sprawiedliwości, w przypadku Abrama jego sprawiedliwość została oceniona na podstawie dokonań Boga poczynionych dla niego. Tym, co czyniło Abrama sprawiedliwym, nie była suma jego ucz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y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nków, ale gotowość do polegania na tym, czego Bóg dokona dla niego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Rz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4,2-4)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</w:t>
      </w:r>
    </w:p>
    <w:p w14:paraId="2CFE64AB" w14:textId="77777777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</w:p>
    <w:p w14:paraId="3668B1B7" w14:textId="36E4CF31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Abraham śmiał się z Panem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Bezpośrednią reakcją Abrahama na oświadczenie Boga był pokłon w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milczeniu i podziw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17,17)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Już po raz drugi Abraham kłaniał się w ten sposób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(por. Rdz 17,3)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Jednak tym razem jego pokłonowi towarzyszył cichy śmiech - pierwszy śmiech zapisany w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Biblii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Nie jest jasne, czy śmiech ten wyrażał sceptycyzm, czy zdumienie. Fakt, iż śmiech był połączony z oddaniem czci Bogu, sugeruje, że wyrażał skrajne zdumienie. Jednak kiedy Abraham przemówił, w jego słowach wyczuwalna była wątpliwość. Zaproponował rozsądne rozwiązanie. Zwrócił uwagę na 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Ismaela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Sceptyczna rekomendacja Abrahama wymagała doprecyzowania zapowiedzi przez Boga. Boża obietnica nie dotyczyła 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Ismaela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Nawiązując do pytań Abrahama, Bóg odpowiedział wprost wymieniając imię Izaaka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17,19)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Jak na ironię, Izaak znaczy „on się śmieje”, co w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oczywisty sposób nawiązywało do śmiechu Abrama.</w:t>
      </w:r>
    </w:p>
    <w:p w14:paraId="697678CB" w14:textId="65B1167A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sz w:val="20"/>
          <w:lang w:eastAsia="en-US"/>
        </w:rPr>
        <w:lastRenderedPageBreak/>
        <w:t xml:space="preserve">Ale tym razem to Bóg się śmieje, gdyż imię Izaak wskazuje imię 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oga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>, jak sugeruje studium semickich i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biblijnych imion. Paralelnie do imienia 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Ismaela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>, „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Bog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wysłuchał”, imię Izaaka musiało także zawierać, przynajmniej domyślnie, imię Boga: „[Bóg] się zaśmiał”. Boży śmiech rezonuje ze śmiechem Abrahama. Później także Sara się śmiała. Kontekst śmiechu Sary podkreśla zdumienie wyrażone w poprzednich sytuacjach. Sara, która ukrywała się w namiocie, usłyszała niesamowitą nowinę, że urodzi syna, więc zaśmiała się. Wtedy zdarzyło się coś niepojętego. Choć Sara zaśmiała się „do siebie”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18,12)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nieznajomy gość znał jej myśli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18,10)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Ta niewytłumaczalna zdolność uświadomiła Abrahamowi i Sarze, że mają do czynienia z Panem, który zagwarantował cudowne narodziny ich syna. Na śmiech Abrahama połączony ze drżeniem zwątpienia i podziwu, Bóg odpowiedział śmiechem ironii i obietnicą.</w:t>
      </w:r>
    </w:p>
    <w:p w14:paraId="358154F6" w14:textId="48AC7C69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Abraham ugościł Pana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Po raz pierwszy Abraham gościł niebiańskich przybyszów nie wiedząc o tym. Jego postępowanie zostało zapamiętane jako wzorzec gościnności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(por. 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Hbr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13,2)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Zamiast od razu przejść do obietnicy przymierza, która była powodem Jego wizyty, Bóg wkroczył w ludzką sferę. Był widzialny dla Abrahama, rozmawiał z nim twarzą w twarz i gościł u niego. Był to czas poobiedniego odpoczynku. Abraham siedział przed namiotem, jakby czekał na kogoś, mając nadzieję, że ktoś go odwiedzi. Niewielu przechodniów pojawia się na pustyni. Zatem kiedy Abraham ujrzał z daleka nieznajomych wędrowców, wybiegł im na spotkanie, co należy postrzegać jako niezwykłe, zważywszy jego wiek (miał 99 lat), oraz to, że niedawno został obrzezany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17,24)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Kiedy Abraham spotkał się z przybyszami, przyjął ich i osobiście im usługiwał, uczestnicząc w przygotowaniu posiłku dla nich. Dostarczył wodę, by umyć ich stopy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18,4)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a następnie wybrał najlepszy pokarm dla nich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18,6-7)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Abraham zmobilizował wszystkich swoich domowników. Sara przygotowała chleb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18,6)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, a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młodzieniec, przypuszczalnie 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Ismael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przygotował mięso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18,8)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Jednak Abraham skromnie określił obfity posiłek jako „nieco chleba”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18,5)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Najwyraźniej zapał i gorliwość Abrahama wobec trzech gości brały się z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odczucia, iż są to szczególne osoby. Fakt, że nazwał jednego z gości </w:t>
      </w:r>
      <w:proofErr w:type="spellStart"/>
      <w:r w:rsidRPr="00773E48">
        <w:rPr>
          <w:rFonts w:ascii="Times New Roman" w:eastAsiaTheme="minorHAnsi" w:hAnsi="Times New Roman"/>
          <w:bCs/>
          <w:sz w:val="20"/>
          <w:lang w:eastAsia="en-US"/>
        </w:rPr>
        <w:t>Adonaj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„Panie mój”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18,2-3)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sugeruje to przeczucie. Fakt, że Abraham zaoferował pokarm i wodę temu Gościowi, niekoniecznie wyklucza rozpoznanie Jego boskiej tożsamości. „Ludzki” wygląd gości, którzy fizycznie stali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18,2)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jedli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 xml:space="preserve">(Rdz 18,8) 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i rozmawiali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18,9)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jest częścią boskiej strategii inkarnacji Boga, który zniża się do ludzi. Abraham stał przed nimi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18,8)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, towarzyszył im i usługiwał.</w:t>
      </w:r>
    </w:p>
    <w:p w14:paraId="083ECD7D" w14:textId="1E868864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Abraham targował się z Bogiem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Czasownik „stać”, opisujący Abrahama usługującego gościom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18,8)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pojawia się ponownie w odniesieniu do postawy Abrahama wobec Boga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18,22)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Właściwie przyimek „przed” po czasowniku „stał” jest używany zazwyczaj w celu opisania szacunku dla Boga i modlitwy do Niego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Pwt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10,8; 1 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Krl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17,1; Za 3,1)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Ten przypadek jest pierwszym w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Biblii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kiedy człowiek modli się za kogoś innego. Nawet Noe milczał w podobnych okolicznościach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6,13-22)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Hebrajski czasownik </w:t>
      </w:r>
      <w:proofErr w:type="spellStart"/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wajjigasz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„zbliżyć się”, sugeruje wahanie Abrahama i powolne podchodzenie coraz bliżej do Boga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18,22-23)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Abraham był odważny, ale świadomie zachowywał dystans, aby okazać szacunek dla Boga. Taktownie zwrócił się do Boga serią siedmiu próśb. Abraham wdał się w targ z Bogiem, przechodząc od pięćdziesięciu do dziesięciu sprawiedliwych. Na podstawi Am 5,3 wiemy, że pięćdziesiąt osób to połowa małego miasteczka, którego liczebność musiała wynosić co najmniej sto osób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(por. 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Sdz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20,10)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Abraham rozpoczął swoje wyzwanie od założenia, że taka liczba sprawiedliwych znajdzie się w tak dużym mieście jak Sodoma. Kiedy doszedł do liczby dziesięciu sprawiedliwych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18,32)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, zrozumiał, że osiągnął granicę, więc postanowił, że nie poprosi o mniej. Liczba dziesięć symbolizuje minimum. Ciekawe, że liczba dziesięć jest oznaczana literą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jod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, najmniejszą literą w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hebrajskim alfabecie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(zob. Mt 5,18)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W późniejszych czasach liczba dziesięć stała się w judaizmie minimalną wymaganą liczbą osób uczestniczących we wspólnotowym nabożeństwie (</w:t>
      </w:r>
      <w:proofErr w:type="spellStart"/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minjan</w:t>
      </w:r>
      <w:proofErr w:type="spellEnd"/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). Fakt, iż minimalna liczba dziesięciu sprawiedliwych wystarczyłaby, aby uratować zbiorowość, jest koncepcją zapowiadającą służbę Cierpiącego Sługi, który „wielu usprawiedliwi”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(Iz 53,11)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Po sześciu odpowiedziach Bóg nagle zakończył rozmowę z Abrahamem. Choć Bóg zniża się do konsultacji z ludźmi, pozostaje niezależny w swoim sądzie.</w:t>
      </w:r>
    </w:p>
    <w:p w14:paraId="6C5DD740" w14:textId="77777777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</w:p>
    <w:p w14:paraId="67179DD8" w14:textId="77777777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sz w:val="20"/>
          <w:lang w:eastAsia="en-US"/>
        </w:rPr>
        <w:t>Część III: Zastosowanie</w:t>
      </w:r>
    </w:p>
    <w:p w14:paraId="100F6161" w14:textId="77777777" w:rsidR="00B07460" w:rsidRPr="00773E48" w:rsidRDefault="00B07460" w:rsidP="00B07460">
      <w:pPr>
        <w:rPr>
          <w:rFonts w:ascii="Times New Roman" w:eastAsiaTheme="minorHAnsi" w:hAnsi="Times New Roman"/>
          <w:sz w:val="20"/>
          <w:lang w:eastAsia="en-US"/>
        </w:rPr>
      </w:pPr>
    </w:p>
    <w:p w14:paraId="39178E05" w14:textId="56FA14EE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i/>
          <w:sz w:val="20"/>
          <w:lang w:eastAsia="en-US"/>
        </w:rPr>
        <w:t>Abram uwierzył Panu</w:t>
      </w:r>
      <w:r w:rsidRPr="00773E48">
        <w:rPr>
          <w:rFonts w:ascii="Times New Roman" w:eastAsiaTheme="minorHAnsi" w:hAnsi="Times New Roman"/>
          <w:sz w:val="20"/>
          <w:lang w:eastAsia="en-US"/>
        </w:rPr>
        <w:t>. Jak możemy uczyć ludzi wiary? Dlaczego biblijna wiara skupia się na przyszłości? Co doradziłbyś komuś, kto utracił bliską osobę i zmaga się z zachowaniem wiary? Jak osobista wiara wiąże się z</w:t>
      </w:r>
      <w:r w:rsidR="00386DF1">
        <w:rPr>
          <w:rFonts w:ascii="Times New Roman" w:eastAsiaTheme="minorHAnsi" w:hAnsi="Times New Roman"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sz w:val="20"/>
          <w:lang w:eastAsia="en-US"/>
        </w:rPr>
        <w:t>nadzieją?</w:t>
      </w:r>
    </w:p>
    <w:p w14:paraId="57B0301B" w14:textId="77777777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Abraham śmiał się z Panem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Omów twierdzenie niektórych osób, że śmiech pochodzi od diabła. Poszukaj w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Biblii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przykładów śmiechu i poczucia humoru. Dlaczego śmiech i poczucie humoru są zgodne z prawdziwą religią? Dlaczego odrzucanie śmiechu jako rzekomo niestosownego często przejawia się wśród religijnych ludzi?</w:t>
      </w:r>
    </w:p>
    <w:p w14:paraId="1D3250EE" w14:textId="0A33D832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Abraham ugościł Pana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. Jak gorliwość Abrahama w przygotowaniu dobrego posiłku dla nieznajomych inspiruje nas do misji i nabożeństwa? Znajdź w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Biblii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przykłady tego, jak pokarm i posiłek odgrywały rolę w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rytuałach ceremonialnych związanych z Bożym przymierzem? Dlaczego kwestia pokarmu jest ważna w 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Biblii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? Dlaczego ascetyzm jest niezgodny z biblijnymi wartościami?</w:t>
      </w:r>
    </w:p>
    <w:p w14:paraId="2E577B20" w14:textId="6152913B" w:rsidR="00B07460" w:rsidRPr="00773E48" w:rsidRDefault="00B07460" w:rsidP="00B07460">
      <w:pPr>
        <w:rPr>
          <w:rFonts w:ascii="Times New Roman" w:eastAsiaTheme="minorHAnsi" w:hAnsi="Times New Roman"/>
          <w:bCs/>
          <w:sz w:val="20"/>
          <w:lang w:eastAsia="en-US"/>
        </w:rPr>
      </w:pP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Abraham targował się z Bogiem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>. Dlaczego odwaga Abrahama i jego targowanie się z Bogiem były przejawem wiary? Jak możesz zastosować ten przykład Abrahama w swoim doświadczeniu modlitwy? Znajdź w</w:t>
      </w:r>
      <w:r w:rsidR="00386DF1">
        <w:rPr>
          <w:rFonts w:ascii="Times New Roman" w:eastAsiaTheme="minorHAnsi" w:hAnsi="Times New Roman"/>
          <w:bCs/>
          <w:sz w:val="20"/>
          <w:lang w:eastAsia="en-US"/>
        </w:rPr>
        <w:t> </w:t>
      </w:r>
      <w:r w:rsidRPr="00773E48">
        <w:rPr>
          <w:rFonts w:ascii="Times New Roman" w:eastAsiaTheme="minorHAnsi" w:hAnsi="Times New Roman"/>
          <w:bCs/>
          <w:i/>
          <w:sz w:val="20"/>
          <w:lang w:eastAsia="en-US"/>
        </w:rPr>
        <w:t>Biblii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i historii przypadki, w których religijni ludzie targowali się i spierali się z Bogiem.</w:t>
      </w:r>
    </w:p>
    <w:sectPr w:rsidR="00B07460" w:rsidRPr="00773E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3153" w14:textId="77777777" w:rsidR="00DB2CB9" w:rsidRDefault="00DB2CB9" w:rsidP="00A820C9">
      <w:r>
        <w:separator/>
      </w:r>
    </w:p>
  </w:endnote>
  <w:endnote w:type="continuationSeparator" w:id="0">
    <w:p w14:paraId="6654CB40" w14:textId="77777777" w:rsidR="00DB2CB9" w:rsidRDefault="00DB2CB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312C" w14:textId="77777777" w:rsidR="00DB2CB9" w:rsidRDefault="00DB2CB9" w:rsidP="00A820C9">
      <w:r>
        <w:separator/>
      </w:r>
    </w:p>
  </w:footnote>
  <w:footnote w:type="continuationSeparator" w:id="0">
    <w:p w14:paraId="3ED4CED7" w14:textId="77777777" w:rsidR="00DB2CB9" w:rsidRDefault="00DB2CB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9EB" w14:textId="00E85D2E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617CBE">
      <w:rPr>
        <w:rFonts w:ascii="Times New Roman" w:eastAsia="MS PMincho" w:hAnsi="Times New Roman"/>
        <w:sz w:val="16"/>
        <w:szCs w:val="16"/>
      </w:rPr>
      <w:t>2/2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6F3FE7">
      <w:rPr>
        <w:rFonts w:ascii="Times New Roman" w:eastAsia="MS PMincho" w:hAnsi="Times New Roman"/>
        <w:sz w:val="16"/>
        <w:szCs w:val="16"/>
      </w:rPr>
      <w:t>2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617CBE">
      <w:rPr>
        <w:rFonts w:ascii="Times New Roman" w:hAnsi="Times New Roman"/>
        <w:sz w:val="16"/>
        <w:szCs w:val="16"/>
      </w:rPr>
      <w:t>Jacqes</w:t>
    </w:r>
    <w:proofErr w:type="spellEnd"/>
    <w:r w:rsidR="00617CBE">
      <w:rPr>
        <w:rFonts w:ascii="Times New Roman" w:hAnsi="Times New Roman"/>
        <w:sz w:val="16"/>
        <w:szCs w:val="16"/>
      </w:rPr>
      <w:t xml:space="preserve"> B. </w:t>
    </w:r>
    <w:proofErr w:type="spellStart"/>
    <w:r w:rsidR="00617CBE">
      <w:rPr>
        <w:rFonts w:ascii="Times New Roman" w:hAnsi="Times New Roman"/>
        <w:sz w:val="16"/>
        <w:szCs w:val="16"/>
      </w:rPr>
      <w:t>Doukhan</w:t>
    </w:r>
    <w:proofErr w:type="spellEnd"/>
    <w:r w:rsidR="00262338">
      <w:rPr>
        <w:rFonts w:ascii="Times New Roman" w:hAnsi="Times New Roman"/>
        <w:sz w:val="16"/>
        <w:szCs w:val="16"/>
      </w:rPr>
      <w:t xml:space="preserve"> – </w:t>
    </w:r>
    <w:r w:rsidR="00617CBE">
      <w:rPr>
        <w:rFonts w:ascii="Times New Roman" w:hAnsi="Times New Roman"/>
        <w:sz w:val="16"/>
        <w:szCs w:val="16"/>
      </w:rPr>
      <w:t>Księga Rodzaju</w:t>
    </w:r>
  </w:p>
  <w:p w14:paraId="1D2ABF02" w14:textId="0D26404E" w:rsidR="009B2EC9" w:rsidRPr="00AA0514" w:rsidRDefault="00B2361E" w:rsidP="00192589">
    <w:pPr>
      <w:rPr>
        <w:rFonts w:ascii="Times New Roman" w:hAnsi="Times New Roman"/>
        <w:b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B91A58">
      <w:rPr>
        <w:rFonts w:ascii="Times New Roman" w:hAnsi="Times New Roman"/>
        <w:sz w:val="16"/>
        <w:szCs w:val="16"/>
      </w:rPr>
      <w:t xml:space="preserve"> </w:t>
    </w:r>
    <w:r w:rsidR="00B07460">
      <w:rPr>
        <w:rFonts w:ascii="Times New Roman" w:hAnsi="Times New Roman"/>
        <w:sz w:val="16"/>
        <w:szCs w:val="16"/>
      </w:rPr>
      <w:t>7</w:t>
    </w:r>
    <w:r w:rsidR="0015413F">
      <w:rPr>
        <w:rFonts w:ascii="Times New Roman" w:hAnsi="Times New Roman"/>
        <w:sz w:val="16"/>
        <w:szCs w:val="16"/>
      </w:rPr>
      <w:t>–</w:t>
    </w:r>
    <w:r w:rsidR="00C851EF">
      <w:rPr>
        <w:rFonts w:ascii="Times New Roman" w:hAnsi="Times New Roman"/>
        <w:sz w:val="16"/>
        <w:szCs w:val="16"/>
      </w:rPr>
      <w:t xml:space="preserve"> </w:t>
    </w:r>
    <w:r w:rsidR="00B07460">
      <w:rPr>
        <w:rFonts w:ascii="Times New Roman" w:hAnsi="Times New Roman"/>
        <w:sz w:val="16"/>
        <w:szCs w:val="16"/>
      </w:rPr>
      <w:t>Przymierze z Abrahamem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6501"/>
    <w:rsid w:val="00027C13"/>
    <w:rsid w:val="000314C7"/>
    <w:rsid w:val="00034222"/>
    <w:rsid w:val="00035493"/>
    <w:rsid w:val="00041B9C"/>
    <w:rsid w:val="0004300C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5BF6"/>
    <w:rsid w:val="00097610"/>
    <w:rsid w:val="000A1890"/>
    <w:rsid w:val="000A5E76"/>
    <w:rsid w:val="000A7CAE"/>
    <w:rsid w:val="000B4665"/>
    <w:rsid w:val="000C39FA"/>
    <w:rsid w:val="000C43D8"/>
    <w:rsid w:val="000D0B43"/>
    <w:rsid w:val="000D3669"/>
    <w:rsid w:val="000D704C"/>
    <w:rsid w:val="000E37F9"/>
    <w:rsid w:val="000E3D8C"/>
    <w:rsid w:val="000F4D2C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413F"/>
    <w:rsid w:val="00160A2E"/>
    <w:rsid w:val="00161F23"/>
    <w:rsid w:val="00162107"/>
    <w:rsid w:val="001634CA"/>
    <w:rsid w:val="001663AF"/>
    <w:rsid w:val="00166A4D"/>
    <w:rsid w:val="00167273"/>
    <w:rsid w:val="0017267D"/>
    <w:rsid w:val="00172E60"/>
    <w:rsid w:val="00180FC0"/>
    <w:rsid w:val="001900C2"/>
    <w:rsid w:val="00191138"/>
    <w:rsid w:val="00192589"/>
    <w:rsid w:val="001A14AD"/>
    <w:rsid w:val="001A64A1"/>
    <w:rsid w:val="001A762A"/>
    <w:rsid w:val="001B6CB1"/>
    <w:rsid w:val="001C3DCA"/>
    <w:rsid w:val="001C7F11"/>
    <w:rsid w:val="001D207D"/>
    <w:rsid w:val="001E3960"/>
    <w:rsid w:val="001F3AB8"/>
    <w:rsid w:val="00207A60"/>
    <w:rsid w:val="00211923"/>
    <w:rsid w:val="00212D47"/>
    <w:rsid w:val="002215B7"/>
    <w:rsid w:val="0024201E"/>
    <w:rsid w:val="002426C3"/>
    <w:rsid w:val="00243314"/>
    <w:rsid w:val="002477AE"/>
    <w:rsid w:val="00247ECF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A604C"/>
    <w:rsid w:val="002B23C1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86DF1"/>
    <w:rsid w:val="00394C88"/>
    <w:rsid w:val="003A03DD"/>
    <w:rsid w:val="003A048A"/>
    <w:rsid w:val="003A1217"/>
    <w:rsid w:val="003A4695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67C5"/>
    <w:rsid w:val="00404868"/>
    <w:rsid w:val="00411F03"/>
    <w:rsid w:val="00416C57"/>
    <w:rsid w:val="00422C48"/>
    <w:rsid w:val="004329D1"/>
    <w:rsid w:val="0043366A"/>
    <w:rsid w:val="0044128C"/>
    <w:rsid w:val="0044786C"/>
    <w:rsid w:val="0045585B"/>
    <w:rsid w:val="00457757"/>
    <w:rsid w:val="004622A1"/>
    <w:rsid w:val="00473EDB"/>
    <w:rsid w:val="004765D6"/>
    <w:rsid w:val="00477D59"/>
    <w:rsid w:val="00482556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76CE"/>
    <w:rsid w:val="004F7F95"/>
    <w:rsid w:val="00504576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37F3"/>
    <w:rsid w:val="005538E5"/>
    <w:rsid w:val="0055562E"/>
    <w:rsid w:val="005675D2"/>
    <w:rsid w:val="0058262E"/>
    <w:rsid w:val="0058291A"/>
    <w:rsid w:val="0058625A"/>
    <w:rsid w:val="00597FD2"/>
    <w:rsid w:val="005A1543"/>
    <w:rsid w:val="005A2815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F1934"/>
    <w:rsid w:val="005F4946"/>
    <w:rsid w:val="00602B6F"/>
    <w:rsid w:val="00614445"/>
    <w:rsid w:val="00615FE6"/>
    <w:rsid w:val="00617CBE"/>
    <w:rsid w:val="006237C5"/>
    <w:rsid w:val="006254DA"/>
    <w:rsid w:val="00632A41"/>
    <w:rsid w:val="0063445E"/>
    <w:rsid w:val="00637276"/>
    <w:rsid w:val="0066123D"/>
    <w:rsid w:val="006624AC"/>
    <w:rsid w:val="006657A7"/>
    <w:rsid w:val="00673C79"/>
    <w:rsid w:val="00680F75"/>
    <w:rsid w:val="00685F14"/>
    <w:rsid w:val="00690562"/>
    <w:rsid w:val="00691DF0"/>
    <w:rsid w:val="006944B4"/>
    <w:rsid w:val="006960FC"/>
    <w:rsid w:val="00697041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E44CF"/>
    <w:rsid w:val="006E5C3B"/>
    <w:rsid w:val="006F2FFB"/>
    <w:rsid w:val="006F3FE7"/>
    <w:rsid w:val="0071208E"/>
    <w:rsid w:val="00725650"/>
    <w:rsid w:val="00726F3A"/>
    <w:rsid w:val="00727749"/>
    <w:rsid w:val="007346EB"/>
    <w:rsid w:val="0074017C"/>
    <w:rsid w:val="00752127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7134"/>
    <w:rsid w:val="008A4A07"/>
    <w:rsid w:val="008A4CC9"/>
    <w:rsid w:val="008A5882"/>
    <w:rsid w:val="008B44EC"/>
    <w:rsid w:val="008C1D23"/>
    <w:rsid w:val="008C1F5B"/>
    <w:rsid w:val="008C53FF"/>
    <w:rsid w:val="008C694D"/>
    <w:rsid w:val="008C723E"/>
    <w:rsid w:val="008D5DB1"/>
    <w:rsid w:val="008E0114"/>
    <w:rsid w:val="008E1633"/>
    <w:rsid w:val="008E63CB"/>
    <w:rsid w:val="009039D9"/>
    <w:rsid w:val="00903AB3"/>
    <w:rsid w:val="00904615"/>
    <w:rsid w:val="00910645"/>
    <w:rsid w:val="0091425C"/>
    <w:rsid w:val="0091548D"/>
    <w:rsid w:val="00926046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2EC9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3AF6"/>
    <w:rsid w:val="00A06761"/>
    <w:rsid w:val="00A10178"/>
    <w:rsid w:val="00A12E04"/>
    <w:rsid w:val="00A1594B"/>
    <w:rsid w:val="00A161FF"/>
    <w:rsid w:val="00A17612"/>
    <w:rsid w:val="00A22AA7"/>
    <w:rsid w:val="00A249C3"/>
    <w:rsid w:val="00A26A3B"/>
    <w:rsid w:val="00A32AA6"/>
    <w:rsid w:val="00A372AD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1225"/>
    <w:rsid w:val="00AB40C3"/>
    <w:rsid w:val="00AB5D63"/>
    <w:rsid w:val="00AB6768"/>
    <w:rsid w:val="00AC3205"/>
    <w:rsid w:val="00AD058E"/>
    <w:rsid w:val="00AD4D5B"/>
    <w:rsid w:val="00AD7194"/>
    <w:rsid w:val="00AE5A8E"/>
    <w:rsid w:val="00B07460"/>
    <w:rsid w:val="00B12BA8"/>
    <w:rsid w:val="00B179CE"/>
    <w:rsid w:val="00B2361E"/>
    <w:rsid w:val="00B244DF"/>
    <w:rsid w:val="00B27439"/>
    <w:rsid w:val="00B306C0"/>
    <w:rsid w:val="00B30841"/>
    <w:rsid w:val="00B31A94"/>
    <w:rsid w:val="00B32C6C"/>
    <w:rsid w:val="00B42BF8"/>
    <w:rsid w:val="00B470F9"/>
    <w:rsid w:val="00B5045B"/>
    <w:rsid w:val="00B5278F"/>
    <w:rsid w:val="00B53BCA"/>
    <w:rsid w:val="00B608AC"/>
    <w:rsid w:val="00B60B00"/>
    <w:rsid w:val="00B67684"/>
    <w:rsid w:val="00B70608"/>
    <w:rsid w:val="00B9066D"/>
    <w:rsid w:val="00B90CB9"/>
    <w:rsid w:val="00B91A58"/>
    <w:rsid w:val="00B941C8"/>
    <w:rsid w:val="00BA1F8B"/>
    <w:rsid w:val="00BA48CF"/>
    <w:rsid w:val="00BA4C89"/>
    <w:rsid w:val="00BA5879"/>
    <w:rsid w:val="00BA7EDD"/>
    <w:rsid w:val="00BC756F"/>
    <w:rsid w:val="00BD0104"/>
    <w:rsid w:val="00BD6674"/>
    <w:rsid w:val="00BE1627"/>
    <w:rsid w:val="00BE5836"/>
    <w:rsid w:val="00BF6B76"/>
    <w:rsid w:val="00C00C63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2F81"/>
    <w:rsid w:val="00C43D2B"/>
    <w:rsid w:val="00C44AC9"/>
    <w:rsid w:val="00C518BF"/>
    <w:rsid w:val="00C539F9"/>
    <w:rsid w:val="00C61B5B"/>
    <w:rsid w:val="00C67C1F"/>
    <w:rsid w:val="00C711AB"/>
    <w:rsid w:val="00C76D9B"/>
    <w:rsid w:val="00C851EF"/>
    <w:rsid w:val="00C85D32"/>
    <w:rsid w:val="00C93192"/>
    <w:rsid w:val="00CA1F88"/>
    <w:rsid w:val="00CB2110"/>
    <w:rsid w:val="00CB286C"/>
    <w:rsid w:val="00CB571A"/>
    <w:rsid w:val="00CD0148"/>
    <w:rsid w:val="00CD55B6"/>
    <w:rsid w:val="00CD6B02"/>
    <w:rsid w:val="00CE4997"/>
    <w:rsid w:val="00CE667A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A421C"/>
    <w:rsid w:val="00DB2CB9"/>
    <w:rsid w:val="00DB4758"/>
    <w:rsid w:val="00DB7651"/>
    <w:rsid w:val="00DC750C"/>
    <w:rsid w:val="00DC7A32"/>
    <w:rsid w:val="00DD10BF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366EF"/>
    <w:rsid w:val="00E57CF3"/>
    <w:rsid w:val="00E60CC8"/>
    <w:rsid w:val="00E70CA3"/>
    <w:rsid w:val="00E74F52"/>
    <w:rsid w:val="00E7674E"/>
    <w:rsid w:val="00E8687A"/>
    <w:rsid w:val="00E86CB7"/>
    <w:rsid w:val="00E90F2D"/>
    <w:rsid w:val="00E9226C"/>
    <w:rsid w:val="00E95C9D"/>
    <w:rsid w:val="00EB1FDE"/>
    <w:rsid w:val="00EB34DD"/>
    <w:rsid w:val="00EC1ADB"/>
    <w:rsid w:val="00EF226A"/>
    <w:rsid w:val="00EF3E9E"/>
    <w:rsid w:val="00EF502C"/>
    <w:rsid w:val="00F16117"/>
    <w:rsid w:val="00F16358"/>
    <w:rsid w:val="00F20160"/>
    <w:rsid w:val="00F2397B"/>
    <w:rsid w:val="00F34F5E"/>
    <w:rsid w:val="00F40C65"/>
    <w:rsid w:val="00F42B0D"/>
    <w:rsid w:val="00F47047"/>
    <w:rsid w:val="00F5322D"/>
    <w:rsid w:val="00F542EB"/>
    <w:rsid w:val="00F711C9"/>
    <w:rsid w:val="00F757EC"/>
    <w:rsid w:val="00F8023F"/>
    <w:rsid w:val="00F85EB2"/>
    <w:rsid w:val="00F86EBE"/>
    <w:rsid w:val="00F96322"/>
    <w:rsid w:val="00FA07DB"/>
    <w:rsid w:val="00FB0002"/>
    <w:rsid w:val="00FB5DE0"/>
    <w:rsid w:val="00FB5F4B"/>
    <w:rsid w:val="00FC280C"/>
    <w:rsid w:val="00FC35F3"/>
    <w:rsid w:val="00FE03F9"/>
    <w:rsid w:val="00FE6DE2"/>
    <w:rsid w:val="00FF1219"/>
    <w:rsid w:val="00FF1B01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1485</Words>
  <Characters>8540</Characters>
  <Application>Microsoft Office Word</Application>
  <DocSecurity>0</DocSecurity>
  <Lines>123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2022-04-25T16:24:00Z</dcterms:created>
  <dcterms:modified xsi:type="dcterms:W3CDTF">2022-04-25T16:31:00Z</dcterms:modified>
</cp:coreProperties>
</file>