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3204D9C8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 </w:t>
      </w:r>
      <w:r w:rsidR="00F542EB">
        <w:rPr>
          <w:rFonts w:ascii="Times New Roman" w:hAnsi="Times New Roman"/>
          <w:sz w:val="20"/>
        </w:rPr>
        <w:t>1</w:t>
      </w:r>
      <w:r w:rsidR="00BD6674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BD6674">
        <w:rPr>
          <w:rFonts w:ascii="Times New Roman" w:hAnsi="Times New Roman"/>
          <w:sz w:val="20"/>
        </w:rPr>
        <w:t>26</w:t>
      </w:r>
      <w:r w:rsidR="00F542EB">
        <w:rPr>
          <w:rFonts w:ascii="Times New Roman" w:hAnsi="Times New Roman"/>
          <w:sz w:val="20"/>
        </w:rPr>
        <w:t xml:space="preserve"> marca</w:t>
      </w:r>
    </w:p>
    <w:p w14:paraId="78E2E118" w14:textId="777FF5AB" w:rsidR="00D746F4" w:rsidRPr="003E3A74" w:rsidRDefault="00BD6674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MIŁOŚĆ BRATERSKA NIECHAJ TRWA</w:t>
      </w:r>
    </w:p>
    <w:p w14:paraId="19F1E5AB" w14:textId="3D25616E" w:rsidR="004E40B6" w:rsidRPr="004F76C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4AFA4433" w14:textId="77777777" w:rsidR="00B470F9" w:rsidRPr="00AC0225" w:rsidRDefault="00B470F9" w:rsidP="00B470F9">
      <w:pPr>
        <w:rPr>
          <w:rFonts w:ascii="Times New Roman" w:eastAsiaTheme="minorHAnsi" w:hAnsi="Times New Roman"/>
          <w:i/>
          <w:iCs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bCs/>
          <w:sz w:val="20"/>
          <w:lang w:eastAsia="en-US"/>
        </w:rPr>
        <w:t xml:space="preserve">Zakres studium: </w:t>
      </w:r>
      <w:r w:rsidRPr="00AC0225">
        <w:rPr>
          <w:rFonts w:ascii="Times New Roman" w:eastAsiaTheme="minorHAnsi" w:hAnsi="Times New Roman"/>
          <w:iCs/>
          <w:sz w:val="20"/>
          <w:lang w:eastAsia="en-US"/>
        </w:rPr>
        <w:t>Hbr 13; Rz 12,13; Ef 5,3-5; 1 P 5,1-4; Hbr 2,9; 4,16; Ga 2,20.</w:t>
      </w:r>
    </w:p>
    <w:p w14:paraId="7E173A15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</w:p>
    <w:p w14:paraId="5C1C2480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sz w:val="20"/>
          <w:lang w:eastAsia="en-US"/>
        </w:rPr>
        <w:t>Część I: Przegląd</w:t>
      </w:r>
    </w:p>
    <w:p w14:paraId="3EB1197E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</w:p>
    <w:p w14:paraId="2B2BCC31" w14:textId="153D62A5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Tematy lekcji: </w:t>
      </w:r>
      <w:r w:rsidRPr="00AC0225">
        <w:rPr>
          <w:rFonts w:ascii="Times New Roman" w:hAnsi="Times New Roman"/>
          <w:sz w:val="20"/>
        </w:rPr>
        <w:t>Paweł kończy swój list szeregiem napomnień skierowanych do słuchaczy: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Miłość braterska niechaj trwa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13,1)</w:t>
      </w:r>
      <w:r w:rsidRPr="00AC0225">
        <w:rPr>
          <w:rFonts w:ascii="Times New Roman" w:hAnsi="Times New Roman"/>
          <w:sz w:val="20"/>
        </w:rPr>
        <w:t>;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Gościnności nie zapominajcie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13,2)</w:t>
      </w:r>
      <w:r w:rsidRPr="00AC0225">
        <w:rPr>
          <w:rFonts w:ascii="Times New Roman" w:hAnsi="Times New Roman"/>
          <w:sz w:val="20"/>
        </w:rPr>
        <w:t>;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Pamiętajcie o więźniach”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„o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uciskanych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13,3)</w:t>
      </w:r>
      <w:r w:rsidRPr="00AC0225">
        <w:rPr>
          <w:rFonts w:ascii="Times New Roman" w:hAnsi="Times New Roman"/>
          <w:sz w:val="20"/>
        </w:rPr>
        <w:t>. Paweł radzi także swoim adresatom: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Małżeństwo niech będzie we czci u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wszystkich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13,4)</w:t>
      </w:r>
      <w:r w:rsidRPr="00AC0225">
        <w:rPr>
          <w:rFonts w:ascii="Times New Roman" w:hAnsi="Times New Roman"/>
          <w:sz w:val="20"/>
        </w:rPr>
        <w:t>;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Niech życie wasze będzie wolne od chciwości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13,5)</w:t>
      </w:r>
      <w:r w:rsidRPr="00AC0225">
        <w:rPr>
          <w:rFonts w:ascii="Times New Roman" w:hAnsi="Times New Roman"/>
          <w:sz w:val="20"/>
        </w:rPr>
        <w:t>;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Bądźcie posłuszni przewodnikom waszym i bądźcie im ulegli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13,17)</w:t>
      </w:r>
      <w:r w:rsidRPr="00AC0225">
        <w:rPr>
          <w:rFonts w:ascii="Times New Roman" w:hAnsi="Times New Roman"/>
          <w:sz w:val="20"/>
        </w:rPr>
        <w:t>;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Módlcie się za nas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13,18)</w:t>
      </w:r>
      <w:r w:rsidRPr="00AC0225">
        <w:rPr>
          <w:rFonts w:ascii="Times New Roman" w:hAnsi="Times New Roman"/>
          <w:sz w:val="20"/>
        </w:rPr>
        <w:t>. W liście Paweł raz po raz wzywa słuchaczy: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napominajcie jedni drugich każdego dnia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3,13)</w:t>
      </w:r>
      <w:r w:rsidRPr="00AC0225">
        <w:rPr>
          <w:rFonts w:ascii="Times New Roman" w:hAnsi="Times New Roman"/>
          <w:sz w:val="20"/>
        </w:rPr>
        <w:t>;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baczmy jedni na drugich w celu pobudzenia się do miłości i dobrych uczynków, nie opuszczając wspólnych zebrań naszych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10,24-25)</w:t>
      </w:r>
      <w:r w:rsidRPr="00AC0225">
        <w:rPr>
          <w:rFonts w:ascii="Times New Roman" w:hAnsi="Times New Roman"/>
          <w:sz w:val="20"/>
        </w:rPr>
        <w:t>; oraz by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nikt nie pozostał z dala od łaski Bożej, żeby jakiś gorzki korzeń rosnący w górę, nie wyrządził szkody i żeby przezeń nie pokalało się wielu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12,15)</w:t>
      </w:r>
      <w:r w:rsidRPr="00AC0225">
        <w:rPr>
          <w:rFonts w:ascii="Times New Roman" w:hAnsi="Times New Roman"/>
          <w:sz w:val="20"/>
        </w:rPr>
        <w:t xml:space="preserve">. Cały list jest „słowem napomnienia”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13,22)</w:t>
      </w:r>
      <w:r w:rsidRPr="00AC0225">
        <w:rPr>
          <w:rFonts w:ascii="Times New Roman" w:hAnsi="Times New Roman"/>
          <w:sz w:val="20"/>
        </w:rPr>
        <w:t>.</w:t>
      </w:r>
    </w:p>
    <w:p w14:paraId="4A455056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>Choć Paweł zachęca słuchaczy do wzajemnej braterskiej miłości, nie oczekuje jakiegoś emocjonalnego sentymentalizmu. Wzywa raczej do konkretnych działań, takich jak okazywanie gościnności, pomaganie uwięzionym, dochowywanie wierności małżeńskiej i odrzucanie chciwości. Podobnie kiedy Paweł wzywa słuchaczy, by pamiętali o swoich przywódcach, nie chodzi mu o pielęgnowanie wspomnień. Ma raczej na myśli to, by okazując wierność Bogu wierzący byli posłuszni i ulegli wobec wiernych przywódców. Wreszcie, Paweł ostrzega swoich słuchaczy, by nie podążali za dziwnymi naukami, ale za największym Nauczycielem, Chrystusem.</w:t>
      </w:r>
    </w:p>
    <w:p w14:paraId="6027D998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</w:p>
    <w:p w14:paraId="73D37AB3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sz w:val="20"/>
          <w:lang w:eastAsia="en-US"/>
        </w:rPr>
        <w:t>Część II: Komentarz</w:t>
      </w:r>
    </w:p>
    <w:p w14:paraId="1317271B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</w:p>
    <w:p w14:paraId="7A43F6DE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sz w:val="20"/>
          <w:lang w:eastAsia="en-US"/>
        </w:rPr>
        <w:t>Dziwne nauki i pokarmy</w:t>
      </w:r>
    </w:p>
    <w:p w14:paraId="1C62AE78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>W Hbr 13,9 Paweł ostrzega swoich słuchaczy: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Nie dajcie się zwodzić przeróżnym i obcym naukom; dobrze jest bowiem umacniać serce łaską, a nie pokarmami; tym, którzy o nie zabiegali, nie przyniosły one pożytku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”. Werset ten jest jednym z najtrudniejszych w całym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Liście do Hebrajczyków</w:t>
      </w:r>
      <w:r w:rsidRPr="00AC0225">
        <w:rPr>
          <w:rFonts w:ascii="Times New Roman" w:eastAsiaTheme="minorHAnsi" w:hAnsi="Times New Roman"/>
          <w:sz w:val="20"/>
          <w:lang w:eastAsia="en-US"/>
        </w:rPr>
        <w:t>. Tym, co czyni go trudnym, jest mgliste odniesienie do jego historycznego tła. Ponieważ nie możemy ściśle ustalić sytuacji, do której argument się odwołuje, powinniśmy unikać wyciągania zbyt zdecydowanych wniosków.</w:t>
      </w:r>
    </w:p>
    <w:p w14:paraId="10CBE2FA" w14:textId="40ABC026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>W wersecie poprzedzającym zacytowany powyżej czytamy, że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Jezus Chrystus wczoraj i dziś, ten sam i</w:t>
      </w:r>
      <w:r w:rsidR="00BA1F8B"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na wieki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13,8)</w:t>
      </w:r>
      <w:r w:rsidRPr="00AC0225">
        <w:rPr>
          <w:rFonts w:ascii="Times New Roman" w:eastAsiaTheme="minorHAnsi" w:hAnsi="Times New Roman"/>
          <w:sz w:val="20"/>
          <w:lang w:eastAsia="en-US"/>
        </w:rPr>
        <w:t>. W przeciwieństwie do stałości Chrystusa występuje rada, by nie dać się zwodzić przeróżnym i</w:t>
      </w:r>
      <w:r w:rsidR="00BA1F8B">
        <w:rPr>
          <w:rFonts w:ascii="Times New Roman" w:eastAsiaTheme="minorHAnsi" w:hAnsi="Times New Roman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obcym naukom. Metafora „zwodzenia”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(Hbr 13,9) </w:t>
      </w:r>
      <w:r w:rsidRPr="00AC0225">
        <w:rPr>
          <w:rFonts w:ascii="Times New Roman" w:eastAsiaTheme="minorHAnsi" w:hAnsi="Times New Roman"/>
          <w:sz w:val="20"/>
          <w:lang w:eastAsia="en-US"/>
        </w:rPr>
        <w:t>przywołuje obraz dryfowania na wodzie pod wpływem wiatru. Użycie tej figury retorycznej przywołuje na myśl metaforę żeglarską użytą przez Pawła w Hbr 2,1: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abyśmy czasem nie zboczyli z drogi [kursu]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”. Paweł ostrzega tam stanowczo swoich słuchaczy, by zwracali uwagę na to, co usłyszeli od tych, którzy są świadkami Chrystusa. W tamtym czasie jego słuchaczom groziło oddalanie się od Chrystusa. Paweł przypomniał im o ich wiernych nauczycielach i przywódcach oraz wezwał do naśladowania ich wiary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13,7)</w:t>
      </w:r>
      <w:r w:rsidRPr="00AC0225">
        <w:rPr>
          <w:rFonts w:ascii="Times New Roman" w:eastAsiaTheme="minorHAnsi" w:hAnsi="Times New Roman"/>
          <w:sz w:val="20"/>
          <w:lang w:eastAsia="en-US"/>
        </w:rPr>
        <w:t>. Choć przywódcy przychodzą i odchodzą, Chrystus pozostaje. Jednak duchowe błędy nie zanikły. Dlatego słuchaczom Pawła grozi niebezpieczeństwo zwiedzenia przez zwodnicze nauki. Nauki te są sprzeczne z tym, co usłyszeli od swoich nauczycieli i przywódców, a zostały scharakteryzowane dwoma przymiotnikami: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przeróżne” i „obce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13,9)</w:t>
      </w:r>
      <w:r w:rsidRPr="00AC0225">
        <w:rPr>
          <w:rFonts w:ascii="Times New Roman" w:eastAsiaTheme="minorHAnsi" w:hAnsi="Times New Roman"/>
          <w:sz w:val="20"/>
          <w:lang w:eastAsia="en-US"/>
        </w:rPr>
        <w:t>.</w:t>
      </w:r>
    </w:p>
    <w:p w14:paraId="78CF38D4" w14:textId="0368DE46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>Paweł mówi swoim słuchaczom, że wzmacnianie serca jest możliwe dzięki łasce, a nie pokarmom. Przeciwieństwo między pokarmami (ulotnymi) a łaską (trwałą) jest często stosowane przez pisarzy biblijnych w</w:t>
      </w:r>
      <w:r w:rsidR="00BA1F8B">
        <w:rPr>
          <w:rFonts w:ascii="Times New Roman" w:eastAsiaTheme="minorHAnsi" w:hAnsi="Times New Roman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sz w:val="20"/>
          <w:lang w:eastAsia="en-US"/>
        </w:rPr>
        <w:t>celu wykazania różnicy między doczesną egzystencją a czymś znacznie lepszym. Na przykład, Paweł stwierdza: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Albowiem Królestwo Boże, to nie pokarm i napój, lecz sprawiedliwość i pokój, i radość w Duchu Świętym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(Rz 14,17)</w:t>
      </w:r>
      <w:r w:rsidRPr="00AC0225">
        <w:rPr>
          <w:rFonts w:ascii="Times New Roman" w:eastAsiaTheme="minorHAnsi" w:hAnsi="Times New Roman"/>
          <w:sz w:val="20"/>
          <w:lang w:eastAsia="en-US"/>
        </w:rPr>
        <w:t>. Podobnie Paweł radzi chrześcijanom w Koryncie: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Zapewne, pokarm nie zbliża nas do Boga, gdyż nic nie tracimy, jeśli nie jemy, i nic nie zyskujemy, jeśli jemy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(1 Kor 8,8)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. Kwestia pokarmów często wywoływała podziały w Kościele wczesnochrześcijańskim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(Rz 14,1-3)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 i wywołuje spory także dzisiaj.</w:t>
      </w:r>
    </w:p>
    <w:p w14:paraId="40C41D11" w14:textId="20C9FF01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>Do jakiego konkretnego problemu nawiązuje Paweł w Rz 14,1-3? Niektórzy bibliści twierdzą, że członkowie zboru w Rzymie opowiadali się za spożywaniem mięsa ofiarowanego bałwanom, podobnie jak w</w:t>
      </w:r>
      <w:r w:rsidR="00BA1F8B">
        <w:rPr>
          <w:rFonts w:ascii="Times New Roman" w:eastAsiaTheme="minorHAnsi" w:hAnsi="Times New Roman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przypadku problemu, który powstał w zborze korynckim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(1 Kor 8; 10)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. Porównując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List do Hebrajczyków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 z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1. Listem do Koryntian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 zauważamy, że Paweł używa znacznie mocniejszego języka w kwestii pokarmów ofiarowanych bałwanom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(1 Kor 8,12)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, niż w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Liście do Hebrajczyków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 („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dobrze jest bowiem umacniać serce łaską, a nie pokarmami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 [Hbr 13,9]). Zatem najprawdopodobniej w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Liście do Hebrajczyków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 nie chodzi o pokarmy ofiarowane bożkom.</w:t>
      </w:r>
    </w:p>
    <w:p w14:paraId="3E9BFF59" w14:textId="7B486EFA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>Innym, bardziej prawdopodobnym wytłumaczeniem ostrzeżenia zawartego w Hbr 13,9 byłoby korzystanie z pokarmów ofiarowanych w świątyni. Co przemawia za takim poglądem? Rozważmy trzy biblijne możliwości. Po pierwsze, bezpośredni kontekst wydaje się nawiązywać do spożywania pokarmów związanych z żydowskimi posiłkami ofiarnymi. Paweł stwierdza: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Mamy ołtarz, z którego nie mają prawa jeść ci, którzy służą przybytkowi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lastRenderedPageBreak/>
        <w:t>(Hbr 13,10)</w:t>
      </w:r>
      <w:r w:rsidRPr="00AC0225">
        <w:rPr>
          <w:rFonts w:ascii="Times New Roman" w:eastAsiaTheme="minorHAnsi" w:hAnsi="Times New Roman"/>
          <w:sz w:val="20"/>
          <w:lang w:eastAsia="en-US"/>
        </w:rPr>
        <w:t>. Paweł nawiązuje tu do starotestamentowych kapłanów, którzy spożywali część ofiar składanych w</w:t>
      </w:r>
      <w:r w:rsidR="00BA1F8B">
        <w:rPr>
          <w:rFonts w:ascii="Times New Roman" w:eastAsiaTheme="minorHAnsi" w:hAnsi="Times New Roman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sz w:val="20"/>
          <w:lang w:eastAsia="en-US"/>
        </w:rPr>
        <w:t>przybytku.</w:t>
      </w:r>
    </w:p>
    <w:p w14:paraId="019FE1F0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>Po drugie, to samo słowo „pokarm” jest użyte w Hbr 9,9-10, gdzie czytamy: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darach i ofiarach (...) dotyczących pokarmów i napojów, i różnych obmywań, nałożonych do czasu zaprowadzenia nowego porządku</w:t>
      </w:r>
      <w:r w:rsidRPr="00AC0225">
        <w:rPr>
          <w:rFonts w:ascii="Times New Roman" w:eastAsiaTheme="minorHAnsi" w:hAnsi="Times New Roman"/>
          <w:sz w:val="20"/>
          <w:lang w:eastAsia="en-US"/>
        </w:rPr>
        <w:t>”. Paweł podkreśla tu tę samą myśl, którą wyraża w Hbr 13,9, mianowicie, iż ceremonialne ofiary nie mogą udoskonalić sumienia. Dotyczą one raczej pokarmów i napojów, i różnych ceremonialnych obmywań. Zatem słuchacze Pawła nie powinni iść za dziwnymi naukami, gdyż te ceremonialne pokarmy ofiarne są bezużyteczne nawet dla tych, którzy je praktykują (dosł. „chodzą w nich”). Chrześcijanie uczestniczą w ofierze daleko większej niż wszelkie ofiarne pokarmy (por. Hbr 13,10-12).</w:t>
      </w:r>
    </w:p>
    <w:p w14:paraId="6DAB572D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sz w:val="20"/>
          <w:lang w:eastAsia="en-US"/>
        </w:rPr>
        <w:t xml:space="preserve">Po trzecie, greckie słowo „pokarm” (w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Septuagincie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, greckim przekładzie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Starego Testamentu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) jest użyte w Ml 1,7.12 w nawiązaniu do ofiarnych pokarmów na ołtarzu. Kapłani ofiarowali skażone pokarmy zdefiniowane jako ślepe, chore i kalekie zwierzęta ofairne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(Ml 1,7-8)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. Podsumowując, wszystkie trzy powody - bezpośredni kontekst, dalszy kontekst i kontekst </w:t>
      </w:r>
      <w:r w:rsidRPr="00AC0225">
        <w:rPr>
          <w:rFonts w:ascii="Times New Roman" w:eastAsiaTheme="minorHAnsi" w:hAnsi="Times New Roman"/>
          <w:i/>
          <w:sz w:val="20"/>
          <w:lang w:eastAsia="en-US"/>
        </w:rPr>
        <w:t>Starego Testamentu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 - wydają się wskazywać, że owe obce nauki o pokarmach dotyczyły posiłków związanych z izraelskim systemem ofiarniczym.</w:t>
      </w:r>
    </w:p>
    <w:p w14:paraId="613C52E1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</w:p>
    <w:p w14:paraId="62447EF1" w14:textId="77777777" w:rsidR="00B470F9" w:rsidRPr="00AC0225" w:rsidRDefault="00B470F9" w:rsidP="00B470F9">
      <w:pPr>
        <w:rPr>
          <w:rFonts w:ascii="Times New Roman" w:eastAsiaTheme="minorHAnsi" w:hAnsi="Times New Roman"/>
          <w:b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color w:val="000000"/>
          <w:sz w:val="20"/>
          <w:lang w:eastAsia="en-US"/>
        </w:rPr>
        <w:t>Bądźcie posłuszni przewodnikom waszym i bądźcie im ulegli</w:t>
      </w:r>
    </w:p>
    <w:p w14:paraId="78C6D164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W demokratycznym czy reprezentatywnym systemie zarządzania wezwanie do posłuszeństwa i uległości wobec przywódców brzmi dość autorytarnie. Czy dzisiaj takie wezwania są uzasadnione? Jeśli tak, jak powinniśmy odpowiadać na nie jako członkowie Kościoła ogólnoświatowego?</w:t>
      </w:r>
    </w:p>
    <w:p w14:paraId="7E5BF477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Kilka ksiąg nowotestamentowych zawiera ważne pouczenia dotyczące przywództwa kościelnego, więc nie powinno nas zaskakiwać, że występują one także w </w:t>
      </w:r>
      <w:r w:rsidRPr="00AC0225">
        <w:rPr>
          <w:rFonts w:ascii="Times New Roman" w:hAnsi="Times New Roman"/>
          <w:i/>
          <w:sz w:val="20"/>
        </w:rPr>
        <w:t>Liście do Hebrajczyków</w:t>
      </w:r>
      <w:r w:rsidRPr="00AC0225">
        <w:rPr>
          <w:rFonts w:ascii="Times New Roman" w:hAnsi="Times New Roman"/>
          <w:sz w:val="20"/>
        </w:rPr>
        <w:t xml:space="preserve">. Przywódcy kościelni są wspomniani trzykrotnie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13,7.17.24)</w:t>
      </w:r>
      <w:r w:rsidRPr="00AC0225">
        <w:rPr>
          <w:rFonts w:ascii="Times New Roman" w:hAnsi="Times New Roman"/>
          <w:sz w:val="20"/>
        </w:rPr>
        <w:t>. W wersecie 7 Paweł mówi o nich jako tych,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którzy wam głosili Słowo Boże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13,7)</w:t>
      </w:r>
      <w:r w:rsidRPr="00AC0225">
        <w:rPr>
          <w:rFonts w:ascii="Times New Roman" w:hAnsi="Times New Roman"/>
          <w:sz w:val="20"/>
        </w:rPr>
        <w:t>. Byli to najpewniej misjonarze-ewangeliści wspomniani w Hbr 2,3. Dzięki ich kazaniom i nauczaniu słuchacze Pawła poznali „słowo Boże” jako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żywe i skuteczne, ostrzejsze niż wszelki miecz obosieczny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4,12)</w:t>
      </w:r>
      <w:r w:rsidRPr="00AC0225">
        <w:rPr>
          <w:rFonts w:ascii="Times New Roman" w:hAnsi="Times New Roman"/>
          <w:sz w:val="20"/>
        </w:rPr>
        <w:t>.</w:t>
      </w:r>
    </w:p>
    <w:p w14:paraId="28BE8546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Trzy czasowniki kierują uwagę ku owym przywódcom: „pamiętajcie”, „rozpatrując” i „naśladujcie”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13,7</w:t>
      </w:r>
      <w:r w:rsidRPr="00AC0225">
        <w:rPr>
          <w:rFonts w:ascii="Times New Roman" w:eastAsiaTheme="minorHAnsi" w:hAnsi="Times New Roman"/>
          <w:sz w:val="20"/>
          <w:lang w:val="en-GB" w:eastAsia="en-US"/>
        </w:rPr>
        <w:t>)</w:t>
      </w:r>
      <w:r w:rsidRPr="00AC0225">
        <w:rPr>
          <w:rFonts w:ascii="Times New Roman" w:hAnsi="Times New Roman"/>
          <w:sz w:val="20"/>
        </w:rPr>
        <w:t xml:space="preserve">. Jak wskazuje list, Paweł dostarcza słuchaczom zarówno negatywne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4,11)</w:t>
      </w:r>
      <w:r w:rsidRPr="00AC0225">
        <w:rPr>
          <w:rFonts w:ascii="Times New Roman" w:hAnsi="Times New Roman"/>
          <w:sz w:val="20"/>
        </w:rPr>
        <w:t xml:space="preserve">, jak i pozytywne przykłady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(Hbr 11,4-38), odpowiednio </w:t>
      </w:r>
      <w:r w:rsidRPr="00AC0225">
        <w:rPr>
          <w:rFonts w:ascii="Times New Roman" w:hAnsi="Times New Roman"/>
          <w:sz w:val="20"/>
        </w:rPr>
        <w:t>do unikania i naśladowania. W związku z tym czytelnicy mają rozważyć wynik sposobu życia swoich przywódców. To rozważanie wskazuje, że cele działalności przywódców zostały zrealizowane. Tak więc słuchacze mogą obecnie rozważać postępowanie i działalność przywódców oraz naśladować ich wierność w działaniu.</w:t>
      </w:r>
    </w:p>
    <w:p w14:paraId="300B94A4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W dalszej części rozdziału widzimy ponowne nawiązanie do przywództwa i tego, jak członkowie Kościoła powinni odnosić się do przywódców.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Bądźcie posłuszni przewodnikom waszym i bądźcie im ulegli; oni to bowiem czuwają nad duszami waszymi i zdadzą z tego sprawę; niechże to czynią z radością, a nie ze wzdychaniem, gdyż to wyszłoby wam na szkodę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13,17)</w:t>
      </w:r>
      <w:r w:rsidRPr="00AC0225">
        <w:rPr>
          <w:rFonts w:ascii="Times New Roman" w:hAnsi="Times New Roman"/>
          <w:sz w:val="20"/>
        </w:rPr>
        <w:t>. Autorytet przywódców opiera się na wiernym wykonywaniu funkcji, do których zostali powołani,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oni to bowiem czuwają nad duszami waszymi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13,17)</w:t>
      </w:r>
      <w:r w:rsidRPr="00AC0225">
        <w:rPr>
          <w:rFonts w:ascii="Times New Roman" w:hAnsi="Times New Roman"/>
          <w:sz w:val="20"/>
        </w:rPr>
        <w:t xml:space="preserve">. Kiedy przywódcy odpowiedzialnie traktują swoje obowiązki, pomagają członkom Kościoła w opieraniu się zwiedzeniu przez różne i obce nauki, w tym poleganiu na pokarmach, które nie dają nic dobrego tym, którzy je spożywają. Jednocześnie dobrzy przywódcy są świadomi, że przywództwo wymaga odpowiedzialności, co zostało zilustrowane na przykładzie dwóch sług w przypowieści Jezusa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(Mt 24,45-51)</w:t>
      </w:r>
      <w:r w:rsidRPr="00AC0225">
        <w:rPr>
          <w:rFonts w:ascii="Times New Roman" w:hAnsi="Times New Roman"/>
          <w:sz w:val="20"/>
        </w:rPr>
        <w:t>.</w:t>
      </w:r>
    </w:p>
    <w:p w14:paraId="4752129F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Wreszcie, Paweł wzywa swoich słuchaczy, by byli posłuszni swoim przywódcom, aby ci pełnili swoje obowiązki z radością, a nie ze wzdychaniem. Radość przypomina postawę, z jaką słuchacze przyjęli grabież swojego mienia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10,34)</w:t>
      </w:r>
      <w:r w:rsidRPr="00AC0225">
        <w:rPr>
          <w:rFonts w:ascii="Times New Roman" w:hAnsi="Times New Roman"/>
          <w:sz w:val="20"/>
        </w:rPr>
        <w:t xml:space="preserve">. Taka radość jest powodem, dla którego Jezus zniósł krzyż nie bacząc na jego hańbę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(Hbr 12,2) </w:t>
      </w:r>
      <w:r w:rsidRPr="00AC0225">
        <w:rPr>
          <w:rFonts w:ascii="Times New Roman" w:hAnsi="Times New Roman"/>
          <w:sz w:val="20"/>
        </w:rPr>
        <w:t xml:space="preserve">oraz konsekwencją ojcowskiej dyscypliny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(Hbr 12,11)</w:t>
      </w:r>
      <w:r w:rsidRPr="00AC0225">
        <w:rPr>
          <w:rFonts w:ascii="Times New Roman" w:hAnsi="Times New Roman"/>
          <w:sz w:val="20"/>
        </w:rPr>
        <w:t>. Praca przywódców staje się radosna, kiedy członkowie Kościoła są im ulegli i posłuszni. Kiedy jest inaczej, praca przywódców staje się mozolna. Według Pawła, w takich warunkach przywódcy boleją, a Kościół nie czerpie z ich służby takich korzyści, jakie mógłby czerpać. Tak więc skuteczne współdziałanie między przywódcami i członkami Kościoła wymaga zaufania i dobrej woli.</w:t>
      </w:r>
    </w:p>
    <w:p w14:paraId="32A13CB2" w14:textId="77777777" w:rsidR="00B470F9" w:rsidRPr="00AC0225" w:rsidRDefault="00B470F9" w:rsidP="00B470F9">
      <w:pPr>
        <w:rPr>
          <w:rFonts w:ascii="Times New Roman" w:hAnsi="Times New Roman"/>
          <w:sz w:val="20"/>
        </w:rPr>
      </w:pPr>
    </w:p>
    <w:p w14:paraId="6EA257D2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sz w:val="20"/>
          <w:lang w:eastAsia="en-US"/>
        </w:rPr>
        <w:t>Część III: Zastosowanie</w:t>
      </w:r>
    </w:p>
    <w:p w14:paraId="6510075A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eastAsia="en-US"/>
        </w:rPr>
      </w:pPr>
    </w:p>
    <w:p w14:paraId="32F6EF79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Jeśli przywództwo kościelne było prześladowane w przeszłości w pewnych okolicznościach albo w tych częściach świata, w których polityczne reżimy utrudniają działanie Kościoła, jak możemy dążyć do zgody między przywódcami i członkami Kościoła, o której mówi Paweł?</w:t>
      </w:r>
    </w:p>
    <w:p w14:paraId="464DBE63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1. Dlaczego w niektórych kulturach występuje silna niechęć wobec autorytetów?</w:t>
      </w:r>
    </w:p>
    <w:p w14:paraId="2F8DB61B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2. Czy za przywódcami należy podążać tylko wtedy, kiedy się z nimi zgadzamy? Omów tę kwestię.</w:t>
      </w:r>
    </w:p>
    <w:p w14:paraId="6A8FF0FD" w14:textId="77777777" w:rsidR="00B470F9" w:rsidRPr="00AC0225" w:rsidRDefault="00B470F9" w:rsidP="00B470F9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3. Jakie kryteria podaje Paweł w Hbr 13 w kwestii podążania za przywódcami?</w:t>
      </w:r>
    </w:p>
    <w:p w14:paraId="2F1D092E" w14:textId="77777777" w:rsidR="00B470F9" w:rsidRPr="00AC0225" w:rsidRDefault="00B470F9" w:rsidP="00B470F9">
      <w:pPr>
        <w:rPr>
          <w:rFonts w:ascii="Times New Roman" w:eastAsiaTheme="minorHAnsi" w:hAnsi="Times New Roman"/>
          <w:sz w:val="20"/>
          <w:lang w:val="en-GB" w:eastAsia="en-US"/>
        </w:rPr>
      </w:pPr>
    </w:p>
    <w:p w14:paraId="68D35F54" w14:textId="77777777" w:rsidR="00A12E04" w:rsidRPr="00AC0225" w:rsidRDefault="00A12E04" w:rsidP="00B470F9">
      <w:pPr>
        <w:rPr>
          <w:rFonts w:ascii="Times New Roman" w:hAnsi="Times New Roman"/>
          <w:sz w:val="20"/>
        </w:rPr>
      </w:pPr>
    </w:p>
    <w:sectPr w:rsidR="00A12E04" w:rsidRPr="00AC02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004A" w14:textId="77777777" w:rsidR="00377B16" w:rsidRDefault="00377B16" w:rsidP="00A820C9">
      <w:r>
        <w:separator/>
      </w:r>
    </w:p>
  </w:endnote>
  <w:endnote w:type="continuationSeparator" w:id="0">
    <w:p w14:paraId="7B120FF0" w14:textId="77777777" w:rsidR="00377B16" w:rsidRDefault="00377B1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9E63" w14:textId="77777777" w:rsidR="00377B16" w:rsidRDefault="00377B16" w:rsidP="00A820C9">
      <w:r>
        <w:separator/>
      </w:r>
    </w:p>
  </w:footnote>
  <w:footnote w:type="continuationSeparator" w:id="0">
    <w:p w14:paraId="2E626107" w14:textId="77777777" w:rsidR="00377B16" w:rsidRDefault="00377B1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6FFBF2E8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6F3FE7">
      <w:rPr>
        <w:rFonts w:ascii="Times New Roman" w:eastAsia="MS PMincho" w:hAnsi="Times New Roman"/>
        <w:sz w:val="16"/>
        <w:szCs w:val="16"/>
      </w:rPr>
      <w:t>1/</w:t>
    </w:r>
    <w:r w:rsidRPr="00B2361E">
      <w:rPr>
        <w:rFonts w:ascii="Times New Roman" w:eastAsia="MS PMincho" w:hAnsi="Times New Roman"/>
        <w:sz w:val="16"/>
        <w:szCs w:val="16"/>
      </w:rPr>
      <w:t>202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F3FE7">
      <w:rPr>
        <w:rFonts w:ascii="Times New Roman" w:hAnsi="Times New Roman"/>
        <w:sz w:val="16"/>
        <w:szCs w:val="16"/>
      </w:rPr>
      <w:t>Felix Cortez</w:t>
    </w:r>
    <w:r w:rsidR="00262338">
      <w:rPr>
        <w:rFonts w:ascii="Times New Roman" w:hAnsi="Times New Roman"/>
        <w:sz w:val="16"/>
        <w:szCs w:val="16"/>
      </w:rPr>
      <w:t xml:space="preserve"> – </w:t>
    </w:r>
    <w:r w:rsidR="00AD058E">
      <w:rPr>
        <w:rFonts w:ascii="Times New Roman" w:hAnsi="Times New Roman"/>
        <w:sz w:val="16"/>
        <w:szCs w:val="16"/>
      </w:rPr>
      <w:t>U kresu tych dni. Przesłanie Listu do Hebrajczyków</w:t>
    </w:r>
  </w:p>
  <w:p w14:paraId="7F024918" w14:textId="0569F6F1" w:rsidR="00A97ECA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135593">
      <w:rPr>
        <w:rFonts w:ascii="Times New Roman" w:hAnsi="Times New Roman"/>
        <w:sz w:val="16"/>
        <w:szCs w:val="16"/>
      </w:rPr>
      <w:t xml:space="preserve"> </w:t>
    </w:r>
    <w:r w:rsidR="00CD0148">
      <w:rPr>
        <w:rFonts w:ascii="Times New Roman" w:hAnsi="Times New Roman"/>
        <w:sz w:val="16"/>
        <w:szCs w:val="16"/>
      </w:rPr>
      <w:t>1</w:t>
    </w:r>
    <w:r w:rsidR="00E57CF3">
      <w:rPr>
        <w:rFonts w:ascii="Times New Roman" w:hAnsi="Times New Roman"/>
        <w:sz w:val="16"/>
        <w:szCs w:val="16"/>
      </w:rPr>
      <w:t>2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C851EF">
      <w:rPr>
        <w:rFonts w:ascii="Times New Roman" w:hAnsi="Times New Roman"/>
        <w:sz w:val="16"/>
        <w:szCs w:val="16"/>
      </w:rPr>
      <w:t xml:space="preserve"> </w:t>
    </w:r>
    <w:r w:rsidR="00E57CF3">
      <w:rPr>
        <w:rFonts w:ascii="Times New Roman" w:hAnsi="Times New Roman"/>
        <w:sz w:val="16"/>
        <w:szCs w:val="16"/>
      </w:rPr>
      <w:t>Otrzymujemy królestwo niewzruszone</w:t>
    </w:r>
    <w:r w:rsidR="0010237B">
      <w:rPr>
        <w:rFonts w:ascii="Times New Roman" w:hAnsi="Times New Roman"/>
        <w:sz w:val="16"/>
        <w:szCs w:val="16"/>
      </w:rPr>
      <w:t xml:space="preserve"> </w:t>
    </w:r>
    <w:r w:rsidR="00A161FF">
      <w:rPr>
        <w:rFonts w:ascii="Times New Roman" w:hAnsi="Times New Roman"/>
        <w:sz w:val="16"/>
        <w:szCs w:val="16"/>
      </w:rPr>
      <w:t xml:space="preserve"> </w:t>
    </w:r>
    <w:r w:rsidR="003E3A74">
      <w:rPr>
        <w:rFonts w:ascii="Times New Roman" w:hAnsi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5BF6"/>
    <w:rsid w:val="00097610"/>
    <w:rsid w:val="000A189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413F"/>
    <w:rsid w:val="00160A2E"/>
    <w:rsid w:val="00161F23"/>
    <w:rsid w:val="00162107"/>
    <w:rsid w:val="001634CA"/>
    <w:rsid w:val="001663AF"/>
    <w:rsid w:val="00167273"/>
    <w:rsid w:val="0017267D"/>
    <w:rsid w:val="00172E60"/>
    <w:rsid w:val="00180FC0"/>
    <w:rsid w:val="001900C2"/>
    <w:rsid w:val="00191138"/>
    <w:rsid w:val="00192589"/>
    <w:rsid w:val="001A14AD"/>
    <w:rsid w:val="001A64A1"/>
    <w:rsid w:val="001A762A"/>
    <w:rsid w:val="001B6CB1"/>
    <w:rsid w:val="001C3DCA"/>
    <w:rsid w:val="001D207D"/>
    <w:rsid w:val="001E3960"/>
    <w:rsid w:val="001F3AB8"/>
    <w:rsid w:val="00207A60"/>
    <w:rsid w:val="00211923"/>
    <w:rsid w:val="00212D47"/>
    <w:rsid w:val="002215B7"/>
    <w:rsid w:val="0024201E"/>
    <w:rsid w:val="002426C3"/>
    <w:rsid w:val="00243314"/>
    <w:rsid w:val="002477AE"/>
    <w:rsid w:val="00247ECF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B23C1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94C88"/>
    <w:rsid w:val="003A03DD"/>
    <w:rsid w:val="003A048A"/>
    <w:rsid w:val="003A1217"/>
    <w:rsid w:val="003A4695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67C5"/>
    <w:rsid w:val="00404868"/>
    <w:rsid w:val="00411F03"/>
    <w:rsid w:val="00416C57"/>
    <w:rsid w:val="00422C48"/>
    <w:rsid w:val="004329D1"/>
    <w:rsid w:val="0043366A"/>
    <w:rsid w:val="0044128C"/>
    <w:rsid w:val="0044786C"/>
    <w:rsid w:val="0045585B"/>
    <w:rsid w:val="00457757"/>
    <w:rsid w:val="004622A1"/>
    <w:rsid w:val="00473EDB"/>
    <w:rsid w:val="004765D6"/>
    <w:rsid w:val="00477D59"/>
    <w:rsid w:val="00482556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97FD2"/>
    <w:rsid w:val="005A1543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F1934"/>
    <w:rsid w:val="005F4946"/>
    <w:rsid w:val="00602B6F"/>
    <w:rsid w:val="00614445"/>
    <w:rsid w:val="00615FE6"/>
    <w:rsid w:val="006237C5"/>
    <w:rsid w:val="006254DA"/>
    <w:rsid w:val="00632A41"/>
    <w:rsid w:val="0063445E"/>
    <w:rsid w:val="00637276"/>
    <w:rsid w:val="0066123D"/>
    <w:rsid w:val="006624AC"/>
    <w:rsid w:val="006657A7"/>
    <w:rsid w:val="00673C79"/>
    <w:rsid w:val="00680F75"/>
    <w:rsid w:val="00685F14"/>
    <w:rsid w:val="00690562"/>
    <w:rsid w:val="00691DF0"/>
    <w:rsid w:val="006944B4"/>
    <w:rsid w:val="006960FC"/>
    <w:rsid w:val="00697041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E44CF"/>
    <w:rsid w:val="006E5C3B"/>
    <w:rsid w:val="006F2FFB"/>
    <w:rsid w:val="006F3FE7"/>
    <w:rsid w:val="0071208E"/>
    <w:rsid w:val="00725650"/>
    <w:rsid w:val="00726F3A"/>
    <w:rsid w:val="00727749"/>
    <w:rsid w:val="007346EB"/>
    <w:rsid w:val="0074017C"/>
    <w:rsid w:val="00752127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C723E"/>
    <w:rsid w:val="008E0114"/>
    <w:rsid w:val="008E1633"/>
    <w:rsid w:val="008E63CB"/>
    <w:rsid w:val="009039D9"/>
    <w:rsid w:val="00903AB3"/>
    <w:rsid w:val="00904615"/>
    <w:rsid w:val="00910645"/>
    <w:rsid w:val="0091425C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3AF6"/>
    <w:rsid w:val="00A06761"/>
    <w:rsid w:val="00A10178"/>
    <w:rsid w:val="00A12E04"/>
    <w:rsid w:val="00A1594B"/>
    <w:rsid w:val="00A161FF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1225"/>
    <w:rsid w:val="00AB40C3"/>
    <w:rsid w:val="00AB5D63"/>
    <w:rsid w:val="00AB6768"/>
    <w:rsid w:val="00AC3205"/>
    <w:rsid w:val="00AD058E"/>
    <w:rsid w:val="00AD4D5B"/>
    <w:rsid w:val="00AD7194"/>
    <w:rsid w:val="00B12BA8"/>
    <w:rsid w:val="00B2361E"/>
    <w:rsid w:val="00B244DF"/>
    <w:rsid w:val="00B27439"/>
    <w:rsid w:val="00B30841"/>
    <w:rsid w:val="00B31A94"/>
    <w:rsid w:val="00B32C6C"/>
    <w:rsid w:val="00B42BF8"/>
    <w:rsid w:val="00B470F9"/>
    <w:rsid w:val="00B5045B"/>
    <w:rsid w:val="00B5278F"/>
    <w:rsid w:val="00B53BCA"/>
    <w:rsid w:val="00B608AC"/>
    <w:rsid w:val="00B60B00"/>
    <w:rsid w:val="00B67684"/>
    <w:rsid w:val="00B70608"/>
    <w:rsid w:val="00B9066D"/>
    <w:rsid w:val="00B90CB9"/>
    <w:rsid w:val="00B941C8"/>
    <w:rsid w:val="00BA1F8B"/>
    <w:rsid w:val="00BA48CF"/>
    <w:rsid w:val="00BA4C89"/>
    <w:rsid w:val="00BA5879"/>
    <w:rsid w:val="00BA7EDD"/>
    <w:rsid w:val="00BC756F"/>
    <w:rsid w:val="00BD0104"/>
    <w:rsid w:val="00BD6674"/>
    <w:rsid w:val="00BE1627"/>
    <w:rsid w:val="00BE5836"/>
    <w:rsid w:val="00BF6B76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2F81"/>
    <w:rsid w:val="00C43D2B"/>
    <w:rsid w:val="00C44AC9"/>
    <w:rsid w:val="00C518BF"/>
    <w:rsid w:val="00C539F9"/>
    <w:rsid w:val="00C61B5B"/>
    <w:rsid w:val="00C67C1F"/>
    <w:rsid w:val="00C711AB"/>
    <w:rsid w:val="00C76D9B"/>
    <w:rsid w:val="00C851EF"/>
    <w:rsid w:val="00C85D32"/>
    <w:rsid w:val="00C93192"/>
    <w:rsid w:val="00CA1F88"/>
    <w:rsid w:val="00CB2110"/>
    <w:rsid w:val="00CB286C"/>
    <w:rsid w:val="00CB571A"/>
    <w:rsid w:val="00CD0148"/>
    <w:rsid w:val="00CD55B6"/>
    <w:rsid w:val="00CD6B02"/>
    <w:rsid w:val="00CE4997"/>
    <w:rsid w:val="00CE667A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A421C"/>
    <w:rsid w:val="00DB4758"/>
    <w:rsid w:val="00DB7651"/>
    <w:rsid w:val="00DC750C"/>
    <w:rsid w:val="00DC7A32"/>
    <w:rsid w:val="00DD10BF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57CF3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C1ADB"/>
    <w:rsid w:val="00EF226A"/>
    <w:rsid w:val="00EF3E9E"/>
    <w:rsid w:val="00EF502C"/>
    <w:rsid w:val="00F16117"/>
    <w:rsid w:val="00F16358"/>
    <w:rsid w:val="00F20160"/>
    <w:rsid w:val="00F2397B"/>
    <w:rsid w:val="00F34F5E"/>
    <w:rsid w:val="00F40C65"/>
    <w:rsid w:val="00F42B0D"/>
    <w:rsid w:val="00F47047"/>
    <w:rsid w:val="00F5322D"/>
    <w:rsid w:val="00F542EB"/>
    <w:rsid w:val="00F711C9"/>
    <w:rsid w:val="00F757EC"/>
    <w:rsid w:val="00F8023F"/>
    <w:rsid w:val="00F85EB2"/>
    <w:rsid w:val="00F86EBE"/>
    <w:rsid w:val="00F96322"/>
    <w:rsid w:val="00FA07DB"/>
    <w:rsid w:val="00FB0002"/>
    <w:rsid w:val="00FB5DE0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1427</Words>
  <Characters>8563</Characters>
  <Application>Microsoft Office Word</Application>
  <DocSecurity>0</DocSecurity>
  <Lines>115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2022-01-27T13:45:00Z</dcterms:created>
  <dcterms:modified xsi:type="dcterms:W3CDTF">2022-01-27T13:51:00Z</dcterms:modified>
</cp:coreProperties>
</file>