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33B3B406" w:rsidR="00344E00" w:rsidRPr="002A0CBE" w:rsidRDefault="00A820C9" w:rsidP="00A820C9">
      <w:pPr>
        <w:ind w:firstLine="0"/>
        <w:rPr>
          <w:rFonts w:ascii="Times New Roman" w:hAnsi="Times New Roman"/>
          <w:sz w:val="20"/>
        </w:rPr>
      </w:pPr>
      <w:r w:rsidRPr="002A0CBE">
        <w:rPr>
          <w:rFonts w:ascii="Times New Roman" w:hAnsi="Times New Roman"/>
          <w:sz w:val="20"/>
        </w:rPr>
        <w:t xml:space="preserve"> Lekcja </w:t>
      </w:r>
      <w:r w:rsidR="00BA48CF">
        <w:rPr>
          <w:rFonts w:ascii="Times New Roman" w:hAnsi="Times New Roman"/>
          <w:sz w:val="20"/>
        </w:rPr>
        <w:t>1</w:t>
      </w:r>
      <w:r w:rsidR="00637276">
        <w:rPr>
          <w:rFonts w:ascii="Times New Roman" w:hAnsi="Times New Roman"/>
          <w:sz w:val="20"/>
        </w:rPr>
        <w:t>2</w:t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Pr="002A0CBE">
        <w:rPr>
          <w:rFonts w:ascii="Times New Roman" w:hAnsi="Times New Roman"/>
          <w:sz w:val="20"/>
        </w:rPr>
        <w:tab/>
      </w:r>
      <w:r w:rsidR="002F7A06" w:rsidRPr="002A0CBE">
        <w:rPr>
          <w:rFonts w:ascii="Times New Roman" w:hAnsi="Times New Roman"/>
          <w:sz w:val="20"/>
        </w:rPr>
        <w:tab/>
      </w:r>
      <w:r w:rsidR="00BA48CF">
        <w:rPr>
          <w:rFonts w:ascii="Times New Roman" w:hAnsi="Times New Roman"/>
          <w:sz w:val="20"/>
        </w:rPr>
        <w:t>1</w:t>
      </w:r>
      <w:r w:rsidR="00637276">
        <w:rPr>
          <w:rFonts w:ascii="Times New Roman" w:hAnsi="Times New Roman"/>
          <w:sz w:val="20"/>
        </w:rPr>
        <w:t>8</w:t>
      </w:r>
      <w:r w:rsidR="00C02E27">
        <w:rPr>
          <w:rFonts w:ascii="Times New Roman" w:hAnsi="Times New Roman"/>
          <w:sz w:val="20"/>
        </w:rPr>
        <w:t xml:space="preserve"> </w:t>
      </w:r>
      <w:r w:rsidR="00C518BF">
        <w:rPr>
          <w:rFonts w:ascii="Times New Roman" w:hAnsi="Times New Roman"/>
          <w:sz w:val="20"/>
        </w:rPr>
        <w:t>grudnia</w:t>
      </w:r>
    </w:p>
    <w:p w14:paraId="78E2E118" w14:textId="1E222C66" w:rsidR="00D746F4" w:rsidRPr="00192589" w:rsidRDefault="00BA48CF" w:rsidP="00080D7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KSI</w:t>
      </w:r>
      <w:r w:rsidR="00EC1ADB">
        <w:rPr>
          <w:rFonts w:ascii="Times New Roman" w:hAnsi="Times New Roman"/>
          <w:b/>
          <w:sz w:val="28"/>
          <w:szCs w:val="28"/>
        </w:rPr>
        <w:t>Ę</w:t>
      </w:r>
      <w:r>
        <w:rPr>
          <w:rFonts w:ascii="Times New Roman" w:hAnsi="Times New Roman"/>
          <w:b/>
          <w:sz w:val="28"/>
          <w:szCs w:val="28"/>
        </w:rPr>
        <w:t xml:space="preserve">GA POWTÓRZONEGO PRAWA </w:t>
      </w:r>
      <w:r w:rsidR="00637276">
        <w:rPr>
          <w:rFonts w:ascii="Times New Roman" w:hAnsi="Times New Roman"/>
          <w:b/>
          <w:sz w:val="28"/>
          <w:szCs w:val="28"/>
        </w:rPr>
        <w:t>W NOWYM TESTAMENCIE</w:t>
      </w:r>
    </w:p>
    <w:p w14:paraId="19F1E5AB" w14:textId="3D25616E" w:rsidR="004E40B6" w:rsidRPr="002A0CBE" w:rsidRDefault="004E40B6" w:rsidP="0081514B">
      <w:pPr>
        <w:ind w:firstLine="0"/>
        <w:jc w:val="center"/>
        <w:rPr>
          <w:rFonts w:ascii="Times New Roman" w:hAnsi="Times New Roman"/>
          <w:sz w:val="20"/>
        </w:rPr>
      </w:pPr>
    </w:p>
    <w:p w14:paraId="20BE308D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iCs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Tekst przewodni: </w:t>
      </w:r>
      <w:r w:rsidRPr="00510FBF">
        <w:rPr>
          <w:rFonts w:ascii="Times New Roman" w:hAnsi="Times New Roman"/>
          <w:iCs/>
          <w:sz w:val="20"/>
        </w:rPr>
        <w:t>Mt 4,4.</w:t>
      </w:r>
    </w:p>
    <w:p w14:paraId="3B5946F2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B0394D1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Cs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Zakres studium: </w:t>
      </w:r>
      <w:r w:rsidRPr="00510FBF">
        <w:rPr>
          <w:rFonts w:ascii="Times New Roman" w:hAnsi="Times New Roman"/>
          <w:iCs/>
          <w:sz w:val="20"/>
        </w:rPr>
        <w:t>Mt 4,1-11, por. 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> 8,3; Ga 3,1-14; por. 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 xml:space="preserve"> 27,22—26; </w:t>
      </w:r>
      <w:proofErr w:type="spellStart"/>
      <w:r w:rsidRPr="00510FBF">
        <w:rPr>
          <w:rFonts w:ascii="Times New Roman" w:hAnsi="Times New Roman"/>
          <w:iCs/>
          <w:sz w:val="20"/>
        </w:rPr>
        <w:t>Dz</w:t>
      </w:r>
      <w:proofErr w:type="spellEnd"/>
      <w:r w:rsidRPr="00510FBF">
        <w:rPr>
          <w:rFonts w:ascii="Times New Roman" w:hAnsi="Times New Roman"/>
          <w:iCs/>
          <w:sz w:val="20"/>
        </w:rPr>
        <w:t> 3,22, por. 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 xml:space="preserve"> 18,15-19; </w:t>
      </w:r>
      <w:proofErr w:type="spellStart"/>
      <w:r w:rsidRPr="00510FBF">
        <w:rPr>
          <w:rFonts w:ascii="Times New Roman" w:hAnsi="Times New Roman"/>
          <w:iCs/>
          <w:sz w:val="20"/>
        </w:rPr>
        <w:t>Hb</w:t>
      </w:r>
      <w:proofErr w:type="spellEnd"/>
      <w:r w:rsidRPr="00510FBF">
        <w:rPr>
          <w:rFonts w:ascii="Times New Roman" w:hAnsi="Times New Roman"/>
          <w:iCs/>
          <w:sz w:val="20"/>
        </w:rPr>
        <w:t> 10,28-31, por. 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> 17,2-6; 19,15; 32,35-36.</w:t>
      </w:r>
    </w:p>
    <w:p w14:paraId="03710D24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2311D142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Część I: Przegląd</w:t>
      </w:r>
    </w:p>
    <w:p w14:paraId="7D9586C6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C6043CD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i/>
          <w:sz w:val="20"/>
        </w:rPr>
        <w:t>Księga Powtórzonego Prawa</w:t>
      </w:r>
      <w:r w:rsidRPr="00510FBF">
        <w:rPr>
          <w:rFonts w:ascii="Times New Roman" w:hAnsi="Times New Roman"/>
          <w:sz w:val="20"/>
        </w:rPr>
        <w:t xml:space="preserve"> jest jedną z czterech ksiąg </w:t>
      </w:r>
      <w:r w:rsidRPr="00510FBF">
        <w:rPr>
          <w:rFonts w:ascii="Times New Roman" w:hAnsi="Times New Roman"/>
          <w:i/>
          <w:sz w:val="20"/>
        </w:rPr>
        <w:t>Starego Testamentu</w:t>
      </w:r>
      <w:r w:rsidRPr="00510FBF">
        <w:rPr>
          <w:rFonts w:ascii="Times New Roman" w:hAnsi="Times New Roman"/>
          <w:sz w:val="20"/>
        </w:rPr>
        <w:t xml:space="preserve"> (obok </w:t>
      </w:r>
      <w:r w:rsidRPr="00510FBF">
        <w:rPr>
          <w:rFonts w:ascii="Times New Roman" w:hAnsi="Times New Roman"/>
          <w:i/>
          <w:sz w:val="20"/>
        </w:rPr>
        <w:t>Księgi Rodzaju</w:t>
      </w:r>
      <w:r w:rsidRPr="00510FBF">
        <w:rPr>
          <w:rFonts w:ascii="Times New Roman" w:hAnsi="Times New Roman"/>
          <w:sz w:val="20"/>
        </w:rPr>
        <w:t xml:space="preserve">, </w:t>
      </w:r>
      <w:r w:rsidRPr="00510FBF">
        <w:rPr>
          <w:rFonts w:ascii="Times New Roman" w:hAnsi="Times New Roman"/>
          <w:i/>
          <w:sz w:val="20"/>
        </w:rPr>
        <w:t>Księgi Psalmów</w:t>
      </w:r>
      <w:r w:rsidRPr="00510FBF">
        <w:rPr>
          <w:rFonts w:ascii="Times New Roman" w:hAnsi="Times New Roman"/>
          <w:sz w:val="20"/>
        </w:rPr>
        <w:t xml:space="preserve"> i </w:t>
      </w:r>
      <w:r w:rsidRPr="00510FBF">
        <w:rPr>
          <w:rFonts w:ascii="Times New Roman" w:hAnsi="Times New Roman"/>
          <w:i/>
          <w:sz w:val="20"/>
        </w:rPr>
        <w:t>Księgi Izajasza</w:t>
      </w:r>
      <w:r w:rsidRPr="00510FBF">
        <w:rPr>
          <w:rFonts w:ascii="Times New Roman" w:hAnsi="Times New Roman"/>
          <w:sz w:val="20"/>
        </w:rPr>
        <w:t xml:space="preserve">) najczęściej cytowanych w </w:t>
      </w:r>
      <w:r w:rsidRPr="00510FBF">
        <w:rPr>
          <w:rFonts w:ascii="Times New Roman" w:hAnsi="Times New Roman"/>
          <w:i/>
          <w:sz w:val="20"/>
        </w:rPr>
        <w:t>Nowym Testamencie</w:t>
      </w:r>
      <w:r w:rsidRPr="00510FBF">
        <w:rPr>
          <w:rFonts w:ascii="Times New Roman" w:hAnsi="Times New Roman"/>
          <w:sz w:val="20"/>
        </w:rPr>
        <w:t xml:space="preserve">. Według biblistów, </w:t>
      </w:r>
      <w:r w:rsidRPr="00510FBF">
        <w:rPr>
          <w:rFonts w:ascii="Times New Roman" w:hAnsi="Times New Roman"/>
          <w:i/>
          <w:sz w:val="20"/>
        </w:rPr>
        <w:t>Księga Powtórzonego Prawa</w:t>
      </w:r>
      <w:r w:rsidRPr="00510FBF">
        <w:rPr>
          <w:rFonts w:ascii="Times New Roman" w:hAnsi="Times New Roman"/>
          <w:sz w:val="20"/>
        </w:rPr>
        <w:t xml:space="preserve"> jest księgą starotestamentową najczęściej cytowaną przez Jezusa, zwłaszcza w ważnych chwilach w Jego mesjańskiej misji. Powodem takiej popularności </w:t>
      </w:r>
      <w:r w:rsidRPr="00510FBF">
        <w:rPr>
          <w:rFonts w:ascii="Times New Roman" w:hAnsi="Times New Roman"/>
          <w:i/>
          <w:sz w:val="20"/>
        </w:rPr>
        <w:t>Księgi Powtórzonego Prawa</w:t>
      </w:r>
      <w:r w:rsidRPr="00510FBF">
        <w:rPr>
          <w:rFonts w:ascii="Times New Roman" w:hAnsi="Times New Roman"/>
          <w:sz w:val="20"/>
        </w:rPr>
        <w:t xml:space="preserve"> wynika z tego, iż jest ona napisana w formie kazania, ma pedagogiczną wymowę i teologiczną głębię. Mojżesz nie tylko cytuje przepisy prawa, ale także omawia je, wyjaśniając ich teologiczną treść i głębię intencji, aby zastosować je do życia Izraelitów.</w:t>
      </w:r>
    </w:p>
    <w:p w14:paraId="441602A3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i/>
          <w:sz w:val="20"/>
        </w:rPr>
        <w:t>Księga Powtórzonego Prawa</w:t>
      </w:r>
      <w:r w:rsidRPr="00510FBF">
        <w:rPr>
          <w:rFonts w:ascii="Times New Roman" w:hAnsi="Times New Roman"/>
          <w:sz w:val="20"/>
        </w:rPr>
        <w:t xml:space="preserve"> zawiera wiele nauk, które stanowią teologiczne podstawy chrześcijańskiej wiary. Znajdujemy w niej teologiczne napięcie między rygorem prawa a dobrą nowiną łaski Bożej. To z niej Paweł zaczerpnął fakt, iż prawo ukazuje grzech </w:t>
      </w:r>
      <w:r w:rsidRPr="00510FBF">
        <w:rPr>
          <w:rFonts w:ascii="Times New Roman" w:hAnsi="Times New Roman"/>
          <w:iCs/>
          <w:sz w:val="20"/>
          <w:lang w:val="en-GB"/>
        </w:rPr>
        <w:t>(Rz 7,7)</w:t>
      </w:r>
      <w:r w:rsidRPr="00510FBF">
        <w:rPr>
          <w:rFonts w:ascii="Times New Roman" w:hAnsi="Times New Roman"/>
          <w:sz w:val="20"/>
        </w:rPr>
        <w:t xml:space="preserve">, sprawiedliwość jest wyłącznie przez wiarę </w:t>
      </w:r>
      <w:r w:rsidRPr="00510FBF">
        <w:rPr>
          <w:rFonts w:ascii="Times New Roman" w:hAnsi="Times New Roman"/>
          <w:iCs/>
          <w:sz w:val="20"/>
          <w:lang w:val="en-GB"/>
        </w:rPr>
        <w:t>(Rz 1,17; 10,6-8.17; por.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30,12-14)</w:t>
      </w:r>
      <w:r w:rsidRPr="00510FBF">
        <w:rPr>
          <w:rFonts w:ascii="Times New Roman" w:hAnsi="Times New Roman"/>
          <w:sz w:val="20"/>
        </w:rPr>
        <w:t xml:space="preserve"> oraz nadzieję, że pewnego dnia lud Boży połączy się w jedno z wierzącymi spośród pogan </w:t>
      </w:r>
      <w:r w:rsidRPr="00510FBF">
        <w:rPr>
          <w:rFonts w:ascii="Times New Roman" w:hAnsi="Times New Roman"/>
          <w:iCs/>
          <w:sz w:val="20"/>
          <w:lang w:val="en-GB"/>
        </w:rPr>
        <w:t>(Rz 15,10; por.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32,43)</w:t>
      </w:r>
      <w:r w:rsidRPr="00510FBF">
        <w:rPr>
          <w:rFonts w:ascii="Times New Roman" w:hAnsi="Times New Roman"/>
          <w:sz w:val="20"/>
        </w:rPr>
        <w:t xml:space="preserve">. Dlatego rola </w:t>
      </w:r>
      <w:r w:rsidRPr="00510FBF">
        <w:rPr>
          <w:rFonts w:ascii="Times New Roman" w:hAnsi="Times New Roman"/>
          <w:i/>
          <w:sz w:val="20"/>
        </w:rPr>
        <w:t>Księgi Powtórzonego Prawa</w:t>
      </w:r>
      <w:r w:rsidRPr="00510FBF">
        <w:rPr>
          <w:rFonts w:ascii="Times New Roman" w:hAnsi="Times New Roman"/>
          <w:sz w:val="20"/>
        </w:rPr>
        <w:t xml:space="preserve"> w </w:t>
      </w:r>
      <w:r w:rsidRPr="00510FBF">
        <w:rPr>
          <w:rFonts w:ascii="Times New Roman" w:hAnsi="Times New Roman"/>
          <w:i/>
          <w:sz w:val="20"/>
        </w:rPr>
        <w:t>Starym Testamencie</w:t>
      </w:r>
      <w:r w:rsidRPr="00510FBF">
        <w:rPr>
          <w:rFonts w:ascii="Times New Roman" w:hAnsi="Times New Roman"/>
          <w:sz w:val="20"/>
        </w:rPr>
        <w:t xml:space="preserve"> jest porównywana do roli </w:t>
      </w:r>
      <w:r w:rsidRPr="00510FBF">
        <w:rPr>
          <w:rFonts w:ascii="Times New Roman" w:hAnsi="Times New Roman"/>
          <w:i/>
          <w:sz w:val="20"/>
        </w:rPr>
        <w:t>Listu do Rzymian</w:t>
      </w:r>
      <w:r w:rsidRPr="00510FBF">
        <w:rPr>
          <w:rFonts w:ascii="Times New Roman" w:hAnsi="Times New Roman"/>
          <w:sz w:val="20"/>
        </w:rPr>
        <w:t xml:space="preserve"> w </w:t>
      </w:r>
      <w:r w:rsidRPr="00510FBF">
        <w:rPr>
          <w:rFonts w:ascii="Times New Roman" w:hAnsi="Times New Roman"/>
          <w:i/>
          <w:sz w:val="20"/>
        </w:rPr>
        <w:t>Nowym Testamencie</w:t>
      </w:r>
      <w:r w:rsidRPr="00510FBF">
        <w:rPr>
          <w:rFonts w:ascii="Times New Roman" w:hAnsi="Times New Roman"/>
          <w:sz w:val="20"/>
        </w:rPr>
        <w:t>.</w:t>
      </w:r>
    </w:p>
    <w:p w14:paraId="1B70081A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33F37B9A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Tematy lekcji</w:t>
      </w:r>
    </w:p>
    <w:p w14:paraId="1ED99897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Napisano.</w:t>
      </w:r>
      <w:r w:rsidRPr="00510FBF">
        <w:rPr>
          <w:rFonts w:ascii="Times New Roman" w:hAnsi="Times New Roman"/>
          <w:sz w:val="20"/>
        </w:rPr>
        <w:t xml:space="preserve"> Jezus posługiwał się Słowem Bożym.</w:t>
      </w:r>
    </w:p>
    <w:p w14:paraId="1CBFA3F0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Życie przez Słowo.</w:t>
      </w:r>
      <w:r w:rsidRPr="00510FBF">
        <w:rPr>
          <w:rFonts w:ascii="Times New Roman" w:hAnsi="Times New Roman"/>
          <w:sz w:val="20"/>
        </w:rPr>
        <w:t xml:space="preserve"> Głęboka lekcja o tym, gdzie ludzie znajdują źródło życia i istnienia.</w:t>
      </w:r>
    </w:p>
    <w:p w14:paraId="7F00E1CF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Prawo i łaska.</w:t>
      </w:r>
      <w:r w:rsidRPr="00510FBF">
        <w:rPr>
          <w:rFonts w:ascii="Times New Roman" w:hAnsi="Times New Roman"/>
          <w:sz w:val="20"/>
        </w:rPr>
        <w:t xml:space="preserve"> Jak </w:t>
      </w:r>
      <w:r w:rsidRPr="00510FBF">
        <w:rPr>
          <w:rFonts w:ascii="Times New Roman" w:hAnsi="Times New Roman"/>
          <w:i/>
          <w:sz w:val="20"/>
        </w:rPr>
        <w:t>Nowy Testament</w:t>
      </w:r>
      <w:r w:rsidRPr="00510FBF">
        <w:rPr>
          <w:rFonts w:ascii="Times New Roman" w:hAnsi="Times New Roman"/>
          <w:sz w:val="20"/>
        </w:rPr>
        <w:t xml:space="preserve"> posługuje się </w:t>
      </w:r>
      <w:r w:rsidRPr="00510FBF">
        <w:rPr>
          <w:rFonts w:ascii="Times New Roman" w:hAnsi="Times New Roman"/>
          <w:i/>
          <w:sz w:val="20"/>
        </w:rPr>
        <w:t>Księgą Powtórzonego Prawa</w:t>
      </w:r>
      <w:r w:rsidRPr="00510FBF">
        <w:rPr>
          <w:rFonts w:ascii="Times New Roman" w:hAnsi="Times New Roman"/>
          <w:sz w:val="20"/>
        </w:rPr>
        <w:t xml:space="preserve"> w celu objaśnienia prawa i łaski.</w:t>
      </w:r>
    </w:p>
    <w:p w14:paraId="5FE3C82B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Prorok jak Mojżesz.</w:t>
      </w:r>
      <w:r w:rsidRPr="00510FBF">
        <w:rPr>
          <w:rFonts w:ascii="Times New Roman" w:hAnsi="Times New Roman"/>
          <w:sz w:val="20"/>
        </w:rPr>
        <w:t xml:space="preserve"> Jezus wskazuje </w:t>
      </w:r>
      <w:r w:rsidRPr="00510FBF">
        <w:rPr>
          <w:rFonts w:ascii="Times New Roman" w:hAnsi="Times New Roman"/>
          <w:i/>
          <w:sz w:val="20"/>
        </w:rPr>
        <w:t>Księgę Powtórzonego Prawa</w:t>
      </w:r>
      <w:r w:rsidRPr="00510FBF">
        <w:rPr>
          <w:rFonts w:ascii="Times New Roman" w:hAnsi="Times New Roman"/>
          <w:sz w:val="20"/>
        </w:rPr>
        <w:t>, która wskazuje na Niego.</w:t>
      </w:r>
    </w:p>
    <w:p w14:paraId="40831122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F351453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Część II: Komentarz</w:t>
      </w:r>
    </w:p>
    <w:p w14:paraId="32599F3A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333E3D47" w14:textId="3212E815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Studium </w:t>
      </w:r>
      <w:r w:rsidRPr="00510FBF">
        <w:rPr>
          <w:rFonts w:ascii="Times New Roman" w:hAnsi="Times New Roman"/>
          <w:i/>
          <w:sz w:val="20"/>
        </w:rPr>
        <w:t>Księgi Powtórzonego Prawa</w:t>
      </w:r>
      <w:r w:rsidRPr="00510FBF">
        <w:rPr>
          <w:rFonts w:ascii="Times New Roman" w:hAnsi="Times New Roman"/>
          <w:sz w:val="20"/>
        </w:rPr>
        <w:t xml:space="preserve"> z perspektywy </w:t>
      </w:r>
      <w:r w:rsidRPr="00510FBF">
        <w:rPr>
          <w:rFonts w:ascii="Times New Roman" w:hAnsi="Times New Roman"/>
          <w:i/>
          <w:sz w:val="20"/>
        </w:rPr>
        <w:t>Nowego Testamentu</w:t>
      </w:r>
      <w:r w:rsidRPr="00510FBF">
        <w:rPr>
          <w:rFonts w:ascii="Times New Roman" w:hAnsi="Times New Roman"/>
          <w:sz w:val="20"/>
        </w:rPr>
        <w:t xml:space="preserve"> dostarcza spójnego i</w:t>
      </w:r>
      <w:r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 xml:space="preserve"> zrównoważonego materiału teologicznego. Z księgi tej uczymy się o żywotnej potrzebie Słowa Bożego, przez które powinniśmy żyć. Docenimy wartość zasady „Napisano” i konieczność studiowania Słowa Bożego. Lepiej zrozumiemy związek prawa i łaski i ich rolę w naszej więzi ze sprawiedliwymi i miłującym Bogiem. W końcu, z</w:t>
      </w:r>
      <w:r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 xml:space="preserve"> wiarą przyjmiemy mesjańskie proroctwa.</w:t>
      </w:r>
    </w:p>
    <w:p w14:paraId="75C19206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E0BEA17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„Napisano”</w:t>
      </w:r>
      <w:r w:rsidRPr="00510FBF">
        <w:rPr>
          <w:rFonts w:ascii="Times New Roman" w:hAnsi="Times New Roman"/>
          <w:sz w:val="20"/>
        </w:rPr>
        <w:t xml:space="preserve"> (Mt 4,4)</w:t>
      </w:r>
    </w:p>
    <w:p w14:paraId="4A203C36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Fakt iż Jezus posługiwał się Słowem Bożym, poprzedzając cytaty z </w:t>
      </w:r>
      <w:r w:rsidRPr="00510FBF">
        <w:rPr>
          <w:rFonts w:ascii="Times New Roman" w:hAnsi="Times New Roman"/>
          <w:i/>
          <w:sz w:val="20"/>
        </w:rPr>
        <w:t>Księgi Powtórzonego Prawa</w:t>
      </w:r>
      <w:r w:rsidRPr="00510FBF">
        <w:rPr>
          <w:rFonts w:ascii="Times New Roman" w:hAnsi="Times New Roman"/>
          <w:sz w:val="20"/>
        </w:rPr>
        <w:t xml:space="preserve"> słowem „Napisano” (Mt 4,4), wyraźnie wskazuje, że księga ta zajmuje ważne miejsce w zbiorze natchnionych pism. Jest to techniczne wyrażenie używane już w czasach starotestamentowych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Joz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1,8; 1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Krl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 xml:space="preserve"> 2,3, Ne 10,34 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itd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.)</w:t>
      </w:r>
      <w:r w:rsidRPr="00510FBF">
        <w:rPr>
          <w:rFonts w:ascii="Times New Roman" w:hAnsi="Times New Roman"/>
          <w:sz w:val="20"/>
        </w:rPr>
        <w:t xml:space="preserve">, a potem w </w:t>
      </w:r>
      <w:r w:rsidRPr="00510FBF">
        <w:rPr>
          <w:rFonts w:ascii="Times New Roman" w:hAnsi="Times New Roman"/>
          <w:i/>
          <w:sz w:val="20"/>
        </w:rPr>
        <w:t>Nowym Testamencie</w:t>
      </w:r>
      <w:r w:rsidRPr="00510FBF">
        <w:rPr>
          <w:rFonts w:ascii="Times New Roman" w:hAnsi="Times New Roman"/>
          <w:sz w:val="20"/>
        </w:rPr>
        <w:t xml:space="preserve"> </w:t>
      </w:r>
      <w:r w:rsidRPr="00510FBF">
        <w:rPr>
          <w:rFonts w:ascii="Times New Roman" w:hAnsi="Times New Roman"/>
          <w:iCs/>
          <w:sz w:val="20"/>
          <w:lang w:val="en-GB"/>
        </w:rPr>
        <w:t xml:space="preserve">(Mk 9,13; 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Dz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1,20; 1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Kor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 xml:space="preserve"> 1,19 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itd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.)</w:t>
      </w:r>
      <w:r w:rsidRPr="00510FBF">
        <w:rPr>
          <w:rFonts w:ascii="Times New Roman" w:hAnsi="Times New Roman"/>
          <w:sz w:val="20"/>
        </w:rPr>
        <w:t xml:space="preserve"> w celu odwołania się do autorytetu </w:t>
      </w:r>
      <w:r w:rsidRPr="00510FBF">
        <w:rPr>
          <w:rFonts w:ascii="Times New Roman" w:hAnsi="Times New Roman"/>
          <w:i/>
          <w:sz w:val="20"/>
        </w:rPr>
        <w:t>Pisma Świętego</w:t>
      </w:r>
      <w:r w:rsidRPr="00510FBF">
        <w:rPr>
          <w:rFonts w:ascii="Times New Roman" w:hAnsi="Times New Roman"/>
          <w:sz w:val="20"/>
        </w:rPr>
        <w:t>. Bierna forma czasownika wskazuje gramatyczną intencję wskazującą boski podmiot związany z tymi pismami.</w:t>
      </w:r>
    </w:p>
    <w:p w14:paraId="51B2C4E0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Ciekawe, że nie tylko Jezus, ale także szatan odwoływał się do </w:t>
      </w:r>
      <w:r w:rsidRPr="00510FBF">
        <w:rPr>
          <w:rFonts w:ascii="Times New Roman" w:hAnsi="Times New Roman"/>
          <w:i/>
          <w:sz w:val="20"/>
        </w:rPr>
        <w:t>Pisma Świętego</w:t>
      </w:r>
      <w:r w:rsidRPr="00510FBF">
        <w:rPr>
          <w:rFonts w:ascii="Times New Roman" w:hAnsi="Times New Roman"/>
          <w:sz w:val="20"/>
        </w:rPr>
        <w:t xml:space="preserve">, także posługując się słowem „Napisano” poprzedzającym cytat. Ale jedynie Jezus wskazywał na Boga, nie szatan. Diabeł kierował uwagę na cud, ale pomijał Boga w swojej „teologii”. Jezus skupiał uwagę na Bogu, który jedynie jest godny czci </w:t>
      </w:r>
      <w:r w:rsidRPr="00510FBF">
        <w:rPr>
          <w:rFonts w:ascii="Times New Roman" w:hAnsi="Times New Roman"/>
          <w:iCs/>
          <w:sz w:val="20"/>
          <w:lang w:val="en-GB"/>
        </w:rPr>
        <w:t>(Mt 4,10)</w:t>
      </w:r>
      <w:r w:rsidRPr="00510FBF">
        <w:rPr>
          <w:rFonts w:ascii="Times New Roman" w:hAnsi="Times New Roman"/>
          <w:sz w:val="20"/>
        </w:rPr>
        <w:t xml:space="preserve">. Okazuje się, że można dobrze znać </w:t>
      </w:r>
      <w:r w:rsidRPr="00510FBF">
        <w:rPr>
          <w:rFonts w:ascii="Times New Roman" w:hAnsi="Times New Roman"/>
          <w:i/>
          <w:sz w:val="20"/>
        </w:rPr>
        <w:t>Pismo Święte</w:t>
      </w:r>
      <w:r w:rsidRPr="00510FBF">
        <w:rPr>
          <w:rFonts w:ascii="Times New Roman" w:hAnsi="Times New Roman"/>
          <w:sz w:val="20"/>
        </w:rPr>
        <w:t xml:space="preserve"> i często je cytować, a jednak ignorować a nawet odrzucać Boga, który je natchnął.</w:t>
      </w:r>
    </w:p>
    <w:p w14:paraId="5237965F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3990A1EA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Życie przez Słowo</w:t>
      </w:r>
    </w:p>
    <w:p w14:paraId="7CA05AF5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Kiedy pod koniec czterdziestodniowego postu na pustyni Jezus był kuszony przez szatana, by zamienić kamienie w chleb (aluzja do cudu manny), zacytował fragment z </w:t>
      </w:r>
      <w:r w:rsidRPr="00510FBF">
        <w:rPr>
          <w:rFonts w:ascii="Times New Roman" w:hAnsi="Times New Roman"/>
          <w:i/>
          <w:sz w:val="20"/>
        </w:rPr>
        <w:t>Księgi Powtórzonego Prawa</w:t>
      </w:r>
      <w:r w:rsidRPr="00510FBF">
        <w:rPr>
          <w:rFonts w:ascii="Times New Roman" w:hAnsi="Times New Roman"/>
          <w:sz w:val="20"/>
        </w:rPr>
        <w:t>, w którym Mojżesz mówi Izraelitom pod koniec ich czterdziestoletniego pobytu na pustyni: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Nie samym chlebem żyje człowiek, ale każdym słowem, które pochodzi z ust Bożych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(Mt 4,4; por.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8,3)</w:t>
      </w:r>
      <w:r w:rsidRPr="00510FBF">
        <w:rPr>
          <w:rFonts w:ascii="Times New Roman" w:hAnsi="Times New Roman"/>
          <w:sz w:val="20"/>
        </w:rPr>
        <w:t xml:space="preserve">. Werset ten dotyczy oczywiście Słowa Bożego w takim sensie, w jakim rozumiano to wyrażenie w greckim przekładzie </w:t>
      </w:r>
      <w:r w:rsidRPr="00510FBF">
        <w:rPr>
          <w:rFonts w:ascii="Times New Roman" w:hAnsi="Times New Roman"/>
          <w:i/>
          <w:sz w:val="20"/>
        </w:rPr>
        <w:t>Starego Testamentu</w:t>
      </w:r>
      <w:r w:rsidRPr="00510FBF">
        <w:rPr>
          <w:rFonts w:ascii="Times New Roman" w:hAnsi="Times New Roman"/>
          <w:sz w:val="20"/>
        </w:rPr>
        <w:t xml:space="preserve"> (zwanym </w:t>
      </w:r>
      <w:proofErr w:type="spellStart"/>
      <w:r w:rsidRPr="00510FBF">
        <w:rPr>
          <w:rFonts w:ascii="Times New Roman" w:hAnsi="Times New Roman"/>
          <w:i/>
          <w:sz w:val="20"/>
        </w:rPr>
        <w:t>Septuagintą</w:t>
      </w:r>
      <w:proofErr w:type="spellEnd"/>
      <w:r w:rsidRPr="00510FBF">
        <w:rPr>
          <w:rFonts w:ascii="Times New Roman" w:hAnsi="Times New Roman"/>
          <w:sz w:val="20"/>
        </w:rPr>
        <w:t xml:space="preserve">) cytowanym w greckim </w:t>
      </w:r>
      <w:r w:rsidRPr="00510FBF">
        <w:rPr>
          <w:rFonts w:ascii="Times New Roman" w:hAnsi="Times New Roman"/>
          <w:i/>
          <w:sz w:val="20"/>
        </w:rPr>
        <w:t>Nowym Testamencie</w:t>
      </w:r>
      <w:r w:rsidRPr="00510FBF">
        <w:rPr>
          <w:rFonts w:ascii="Times New Roman" w:hAnsi="Times New Roman"/>
          <w:sz w:val="20"/>
        </w:rPr>
        <w:t xml:space="preserve">. Jednak hebrajski tekst wskazuje więcej niż słowa wychodzące z ust Boga. Hebrajski tekst mówi dosłownie: „Człowiek żyć będzie wszystkim, co wychodzi z ust Boga”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zob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 xml:space="preserve">. 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8,3)</w:t>
      </w:r>
      <w:r w:rsidRPr="00510FBF">
        <w:rPr>
          <w:rFonts w:ascii="Times New Roman" w:hAnsi="Times New Roman"/>
          <w:sz w:val="20"/>
        </w:rPr>
        <w:t>.</w:t>
      </w:r>
    </w:p>
    <w:p w14:paraId="2ECE57C0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lastRenderedPageBreak/>
        <w:t xml:space="preserve">Hebrajski werset nawiązuje także do stworzenia człowieka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Rdz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2,7)</w:t>
      </w:r>
      <w:r w:rsidRPr="00510FBF">
        <w:rPr>
          <w:rFonts w:ascii="Times New Roman" w:hAnsi="Times New Roman"/>
          <w:sz w:val="20"/>
        </w:rPr>
        <w:t>. Mojżesz podkreślił, że to z ust Boga, a nie samego tchnienia ludzie otrzymali życie. Było bardzo ważne, by Izraelici zrozumieli tę lekcję. Przywykli do tego, że manna regularnie spada na ziemię i zaczęli zapominać, że wszystko zawdzięczają Bogu. Jezus przypomniał szatanowi, że nie liczy się nawet moc czynienia cudów, ale jedynie osoba Boga.</w:t>
      </w:r>
    </w:p>
    <w:p w14:paraId="3D092636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230BA7B5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Prawo i łaska</w:t>
      </w:r>
    </w:p>
    <w:p w14:paraId="112D862D" w14:textId="1A5E4CCA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Podobnie jak </w:t>
      </w:r>
      <w:r w:rsidRPr="00510FBF">
        <w:rPr>
          <w:rFonts w:ascii="Times New Roman" w:hAnsi="Times New Roman"/>
          <w:i/>
          <w:sz w:val="20"/>
        </w:rPr>
        <w:t>Księga Powtórzonego Prawa</w:t>
      </w:r>
      <w:r w:rsidRPr="00510FBF">
        <w:rPr>
          <w:rFonts w:ascii="Times New Roman" w:hAnsi="Times New Roman"/>
          <w:sz w:val="20"/>
        </w:rPr>
        <w:t>, apostoł Paweł wywyższa zarówno prawo, jak i łaskę, choć ostrzega także przed błędnym rozumieniem jednego i drugiego. Kiedy Paweł mówi o przekleństwie zapisanym w</w:t>
      </w:r>
      <w:r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 xml:space="preserve"> </w:t>
      </w:r>
      <w:r w:rsidRPr="00510FBF">
        <w:rPr>
          <w:rFonts w:ascii="Times New Roman" w:hAnsi="Times New Roman"/>
          <w:i/>
          <w:sz w:val="20"/>
        </w:rPr>
        <w:t>Księdze Powtórzonego Prawa</w:t>
      </w:r>
      <w:r w:rsidRPr="00510FBF">
        <w:rPr>
          <w:rFonts w:ascii="Times New Roman" w:hAnsi="Times New Roman"/>
          <w:sz w:val="20"/>
        </w:rPr>
        <w:t xml:space="preserve"> przeciwko tym, którzy przestrzegają prawa </w:t>
      </w:r>
      <w:r w:rsidRPr="00510FBF">
        <w:rPr>
          <w:rFonts w:ascii="Times New Roman" w:hAnsi="Times New Roman"/>
          <w:iCs/>
          <w:sz w:val="20"/>
          <w:lang w:val="en-GB"/>
        </w:rPr>
        <w:t>(Ga 3,10; por.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27,26)</w:t>
      </w:r>
      <w:r w:rsidRPr="00510FBF">
        <w:rPr>
          <w:rFonts w:ascii="Times New Roman" w:hAnsi="Times New Roman"/>
          <w:sz w:val="20"/>
        </w:rPr>
        <w:t xml:space="preserve">, podkreśla, że prawo samo w sobie nikogo nie zbawia. W </w:t>
      </w:r>
      <w:r w:rsidRPr="00510FBF">
        <w:rPr>
          <w:rFonts w:ascii="Times New Roman" w:hAnsi="Times New Roman"/>
          <w:i/>
          <w:sz w:val="20"/>
        </w:rPr>
        <w:t xml:space="preserve">Liście do </w:t>
      </w:r>
      <w:proofErr w:type="spellStart"/>
      <w:r w:rsidRPr="00510FBF">
        <w:rPr>
          <w:rFonts w:ascii="Times New Roman" w:hAnsi="Times New Roman"/>
          <w:i/>
          <w:sz w:val="20"/>
        </w:rPr>
        <w:t>Galatów</w:t>
      </w:r>
      <w:proofErr w:type="spellEnd"/>
      <w:r w:rsidRPr="00510FBF">
        <w:rPr>
          <w:rFonts w:ascii="Times New Roman" w:hAnsi="Times New Roman"/>
          <w:sz w:val="20"/>
        </w:rPr>
        <w:t xml:space="preserve"> stwierdza, że nie należy ufać prawu w kwestii zbawienia, gdyż rygor prawa jedynie wskazuje, iż ludzie zasługują na śmierć. Ich ludzkie starania, by być posłusznymi prawu, są z góry skazane na niepowodzenie. Paweł stwierdza jednak: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Kto go wypełni, przezeń żyć będzie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(Ga 3,12)</w:t>
      </w:r>
      <w:r w:rsidRPr="00510FBF">
        <w:rPr>
          <w:rFonts w:ascii="Times New Roman" w:hAnsi="Times New Roman"/>
          <w:sz w:val="20"/>
        </w:rPr>
        <w:t xml:space="preserve">, mając na myśli prawo mojżeszowe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4,1; por.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Kpł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18,5)</w:t>
      </w:r>
      <w:r w:rsidRPr="00510FBF">
        <w:rPr>
          <w:rFonts w:ascii="Times New Roman" w:hAnsi="Times New Roman"/>
          <w:sz w:val="20"/>
        </w:rPr>
        <w:t>.</w:t>
      </w:r>
    </w:p>
    <w:p w14:paraId="1A812166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Powód tego paradoksu leży nie tylko w wartości prawa, ale także w wierze w łaskę Bożą: „</w:t>
      </w:r>
      <w:r w:rsidRPr="00510FBF">
        <w:rPr>
          <w:rFonts w:ascii="Times New Roman" w:eastAsiaTheme="minorHAnsi" w:hAnsi="Times New Roman"/>
          <w:sz w:val="20"/>
          <w:lang w:eastAsia="en-US"/>
        </w:rPr>
        <w:t>Sprawiedliwy z wiary żyć będzie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</w:rPr>
        <w:t>(Ga 3,11)</w:t>
      </w:r>
      <w:r w:rsidRPr="00510FBF">
        <w:rPr>
          <w:rFonts w:ascii="Times New Roman" w:hAnsi="Times New Roman"/>
          <w:sz w:val="20"/>
        </w:rPr>
        <w:t>. Zasada ta została zaczerpnięta z Rdz 15,6. Paweł wyjaśnia tę „sprzeczność” i podaje klucz do niej: „</w:t>
      </w:r>
      <w:r w:rsidRPr="00510FBF">
        <w:rPr>
          <w:rFonts w:ascii="Times New Roman" w:eastAsiaTheme="minorHAnsi" w:hAnsi="Times New Roman"/>
          <w:sz w:val="20"/>
          <w:lang w:eastAsia="en-US"/>
        </w:rPr>
        <w:t>Chrystus wyzwolił nas z tego przekleństwa Prawa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</w:rPr>
        <w:t>(Ga 3,13 BKR)</w:t>
      </w:r>
      <w:r w:rsidRPr="00510FBF">
        <w:rPr>
          <w:rFonts w:ascii="Times New Roman" w:hAnsi="Times New Roman"/>
          <w:sz w:val="20"/>
        </w:rPr>
        <w:t xml:space="preserve"> - przekleństwa, które wypływa z nieposłuszeństwa. Paweł nie sugeruje odrzucenia prawa. Przeciwnie, podkreśla potrzebę jego istnienia. Choć powinniśmy żyć zgodnie z prawem, to właśnie życie w wierności prowadzi nas do wiary w Jezusa Chrystusa, który umarł za upadki grzeszników. Jednak jeśli polegalibyśmy wyłącznie na naszych uczynkach prawa, bylibyśmy skazani na cierpienie przekleństwa, pozbawieni wymiaru miłosierdzia </w:t>
      </w:r>
      <w:r w:rsidRPr="00510FBF">
        <w:rPr>
          <w:rFonts w:ascii="Times New Roman" w:hAnsi="Times New Roman"/>
          <w:iCs/>
          <w:sz w:val="20"/>
        </w:rPr>
        <w:t>(</w:t>
      </w:r>
      <w:proofErr w:type="spellStart"/>
      <w:r w:rsidRPr="00510FBF">
        <w:rPr>
          <w:rFonts w:ascii="Times New Roman" w:hAnsi="Times New Roman"/>
          <w:iCs/>
          <w:sz w:val="20"/>
        </w:rPr>
        <w:t>Hb</w:t>
      </w:r>
      <w:proofErr w:type="spellEnd"/>
      <w:r w:rsidRPr="00510FBF">
        <w:rPr>
          <w:rFonts w:ascii="Times New Roman" w:hAnsi="Times New Roman"/>
          <w:iCs/>
          <w:sz w:val="20"/>
        </w:rPr>
        <w:t> 10,28; por. 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 xml:space="preserve"> 17,2-6; 19,15; </w:t>
      </w:r>
      <w:proofErr w:type="spellStart"/>
      <w:r w:rsidRPr="00510FBF">
        <w:rPr>
          <w:rFonts w:ascii="Times New Roman" w:hAnsi="Times New Roman"/>
          <w:iCs/>
          <w:sz w:val="20"/>
        </w:rPr>
        <w:t>Hb</w:t>
      </w:r>
      <w:proofErr w:type="spellEnd"/>
      <w:r w:rsidRPr="00510FBF">
        <w:rPr>
          <w:rFonts w:ascii="Times New Roman" w:hAnsi="Times New Roman"/>
          <w:iCs/>
          <w:sz w:val="20"/>
        </w:rPr>
        <w:t> 10,30; por. 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> 32,35-36)</w:t>
      </w:r>
      <w:r w:rsidRPr="00510FBF">
        <w:rPr>
          <w:rFonts w:ascii="Times New Roman" w:hAnsi="Times New Roman"/>
          <w:sz w:val="20"/>
        </w:rPr>
        <w:t>. Jeszcze gorzej byłoby, gdybyśmy zlekceważyli miłosierdzie Boga i w ten sposób odrzucili czy „obrazili” Ducha łaski, która została ukazana w ofierze Jezusa na krzyżu (</w:t>
      </w:r>
      <w:proofErr w:type="spellStart"/>
      <w:r w:rsidRPr="00510FBF">
        <w:rPr>
          <w:rFonts w:ascii="Times New Roman" w:hAnsi="Times New Roman"/>
          <w:sz w:val="20"/>
        </w:rPr>
        <w:t>Hbr</w:t>
      </w:r>
      <w:proofErr w:type="spellEnd"/>
      <w:r w:rsidRPr="00510FBF">
        <w:rPr>
          <w:rFonts w:ascii="Times New Roman" w:hAnsi="Times New Roman"/>
          <w:sz w:val="20"/>
        </w:rPr>
        <w:t xml:space="preserve"> 10,29).</w:t>
      </w:r>
    </w:p>
    <w:p w14:paraId="66EB109B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62E9003E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Prorok jak Mojżesz</w:t>
      </w:r>
    </w:p>
    <w:p w14:paraId="1FBB46FB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Kiedy w natchnieniu Mojżesz przepowiedział przyjście proroka podobnego do niego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18,15-19)</w:t>
      </w:r>
      <w:r w:rsidRPr="00510FBF">
        <w:rPr>
          <w:rFonts w:ascii="Times New Roman" w:hAnsi="Times New Roman"/>
          <w:sz w:val="20"/>
        </w:rPr>
        <w:t xml:space="preserve">, miał na myśli nie tylko to, że po nim pojawią się kolejni prorocy. Prorocy istnieli zresztą także przed Mojżeszem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Rdz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20,7; 37,5-9; Lb 11,25)</w:t>
      </w:r>
      <w:r w:rsidRPr="00510FBF">
        <w:rPr>
          <w:rFonts w:ascii="Times New Roman" w:hAnsi="Times New Roman"/>
          <w:sz w:val="20"/>
        </w:rPr>
        <w:t xml:space="preserve">. Mojżesz mówił o przyszłym Mesjaszu, którego przepowiadali późniejsi prorocy. Zwróć uwagę, że podobne wyrażenie - „wzbudzę potomka” - zostało użyte w innym miejscu </w:t>
      </w:r>
      <w:r w:rsidRPr="00510FBF">
        <w:rPr>
          <w:rFonts w:ascii="Times New Roman" w:hAnsi="Times New Roman"/>
          <w:i/>
          <w:sz w:val="20"/>
        </w:rPr>
        <w:t>Starego Testamentu</w:t>
      </w:r>
      <w:r w:rsidRPr="00510FBF">
        <w:rPr>
          <w:rFonts w:ascii="Times New Roman" w:hAnsi="Times New Roman"/>
          <w:sz w:val="20"/>
        </w:rPr>
        <w:t xml:space="preserve"> w celu opisania mającego przyjść Mesjasza, a jednocześnie nawiązywało do wcześniejszego proroctwa Mojżesza </w:t>
      </w:r>
      <w:r w:rsidRPr="00510FBF">
        <w:rPr>
          <w:rFonts w:ascii="Times New Roman" w:hAnsi="Times New Roman"/>
          <w:iCs/>
          <w:sz w:val="20"/>
          <w:lang w:val="en-GB"/>
        </w:rPr>
        <w:t>(2 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Sm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7,12)</w:t>
      </w:r>
      <w:r w:rsidRPr="00510FBF">
        <w:rPr>
          <w:rFonts w:ascii="Times New Roman" w:hAnsi="Times New Roman"/>
          <w:sz w:val="20"/>
        </w:rPr>
        <w:t xml:space="preserve">. Zatem kiedy Jezus przyszedł i dokonał nadzwyczajnego cudu rozmnożenia chleba, Żydzi natychmiast przypomnieli sobie cud manny i uznali, że oto przybył prorok podobny do Mojżesza </w:t>
      </w:r>
      <w:r w:rsidRPr="00510FBF">
        <w:rPr>
          <w:rFonts w:ascii="Times New Roman" w:hAnsi="Times New Roman"/>
          <w:iCs/>
          <w:sz w:val="20"/>
          <w:lang w:val="en-GB"/>
        </w:rPr>
        <w:t>(J 6,14)</w:t>
      </w:r>
      <w:r w:rsidRPr="00510FBF">
        <w:rPr>
          <w:rFonts w:ascii="Times New Roman" w:hAnsi="Times New Roman"/>
          <w:sz w:val="20"/>
        </w:rPr>
        <w:t xml:space="preserve">. Nic dziwnego, że Piotr i Szczepan, znając proroctwa mesjanistyczne, posłużyli się nimi jako argumentem, aby przekonać ówczesnych Żydów oczekujących przyjścia Proroka jak Mojżesz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Dz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3,22-23)</w:t>
      </w:r>
      <w:r w:rsidRPr="00510FBF">
        <w:rPr>
          <w:rFonts w:ascii="Times New Roman" w:hAnsi="Times New Roman"/>
          <w:sz w:val="20"/>
        </w:rPr>
        <w:t>.</w:t>
      </w:r>
    </w:p>
    <w:p w14:paraId="6E9ED9B5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5F12DC61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Część III: Zastosowanie</w:t>
      </w:r>
    </w:p>
    <w:p w14:paraId="719D572B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3C25F5F9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sz w:val="20"/>
        </w:rPr>
      </w:pPr>
      <w:r w:rsidRPr="00510FBF">
        <w:rPr>
          <w:rFonts w:ascii="Times New Roman" w:hAnsi="Times New Roman"/>
          <w:b/>
          <w:sz w:val="20"/>
        </w:rPr>
        <w:t xml:space="preserve">Jak stosujesz </w:t>
      </w:r>
      <w:r w:rsidRPr="00510FBF">
        <w:rPr>
          <w:rFonts w:ascii="Times New Roman" w:hAnsi="Times New Roman"/>
          <w:b/>
          <w:i/>
          <w:sz w:val="20"/>
        </w:rPr>
        <w:t>Pismo Święte?</w:t>
      </w:r>
    </w:p>
    <w:p w14:paraId="175A13EC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Rozważ poniższe przypadki dobrej znajomości </w:t>
      </w:r>
      <w:r w:rsidRPr="00510FBF">
        <w:rPr>
          <w:rFonts w:ascii="Times New Roman" w:hAnsi="Times New Roman"/>
          <w:i/>
          <w:sz w:val="20"/>
        </w:rPr>
        <w:t>Pisma Świętego</w:t>
      </w:r>
      <w:r w:rsidRPr="00510FBF">
        <w:rPr>
          <w:rFonts w:ascii="Times New Roman" w:hAnsi="Times New Roman"/>
          <w:sz w:val="20"/>
        </w:rPr>
        <w:t xml:space="preserve"> połączonej z lekceważeniem jego natchnionego charakteru:</w:t>
      </w:r>
    </w:p>
    <w:p w14:paraId="75BAFCA1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Zastosowanie hermeneutyczne.</w:t>
      </w:r>
      <w:r w:rsidRPr="00510FBF">
        <w:rPr>
          <w:rFonts w:ascii="Times New Roman" w:hAnsi="Times New Roman"/>
          <w:sz w:val="20"/>
        </w:rPr>
        <w:t xml:space="preserve"> Niektórzy mogą kwestionować historyczne, etyczne i teologiczne prawdy zawarte w tekście biblijnym i interpretować </w:t>
      </w:r>
      <w:r w:rsidRPr="00510FBF">
        <w:rPr>
          <w:rFonts w:ascii="Times New Roman" w:hAnsi="Times New Roman"/>
          <w:i/>
          <w:sz w:val="20"/>
        </w:rPr>
        <w:t>Pismo Święte</w:t>
      </w:r>
      <w:r w:rsidRPr="00510FBF">
        <w:rPr>
          <w:rFonts w:ascii="Times New Roman" w:hAnsi="Times New Roman"/>
          <w:sz w:val="20"/>
        </w:rPr>
        <w:t xml:space="preserve"> z punktu widzenia kulturowych założeń (teorii ewolucji, nacisków społecznych i politycznych itd.). Dlaczego tego rodzaju myślenie jest zagrożeniem dla wiary? Jakie jest z tego wyjście?</w:t>
      </w:r>
    </w:p>
    <w:p w14:paraId="217A99A9" w14:textId="2EB4AF16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Zastosowanie egzystencjalne.</w:t>
      </w:r>
      <w:r w:rsidRPr="00510FBF">
        <w:rPr>
          <w:rFonts w:ascii="Times New Roman" w:hAnsi="Times New Roman"/>
          <w:sz w:val="20"/>
        </w:rPr>
        <w:t xml:space="preserve"> Według niektórych, </w:t>
      </w:r>
      <w:r w:rsidRPr="00510FBF">
        <w:rPr>
          <w:rFonts w:ascii="Times New Roman" w:hAnsi="Times New Roman"/>
          <w:i/>
          <w:sz w:val="20"/>
        </w:rPr>
        <w:t>Pismo Święte</w:t>
      </w:r>
      <w:r w:rsidRPr="00510FBF">
        <w:rPr>
          <w:rFonts w:ascii="Times New Roman" w:hAnsi="Times New Roman"/>
          <w:sz w:val="20"/>
        </w:rPr>
        <w:t xml:space="preserve"> nie dotyczy naszego osobistego i</w:t>
      </w:r>
      <w:r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 xml:space="preserve"> zawodowego życia, jakby Bóg </w:t>
      </w:r>
      <w:r w:rsidRPr="00510FBF">
        <w:rPr>
          <w:rFonts w:ascii="Times New Roman" w:hAnsi="Times New Roman"/>
          <w:i/>
          <w:sz w:val="20"/>
        </w:rPr>
        <w:t>Biblii</w:t>
      </w:r>
      <w:r w:rsidRPr="00510FBF">
        <w:rPr>
          <w:rFonts w:ascii="Times New Roman" w:hAnsi="Times New Roman"/>
          <w:sz w:val="20"/>
        </w:rPr>
        <w:t xml:space="preserve"> (zarówno </w:t>
      </w:r>
      <w:r w:rsidRPr="00510FBF">
        <w:rPr>
          <w:rFonts w:ascii="Times New Roman" w:hAnsi="Times New Roman"/>
          <w:i/>
          <w:sz w:val="20"/>
        </w:rPr>
        <w:t>Starego Testamentu</w:t>
      </w:r>
      <w:r w:rsidRPr="00510FBF">
        <w:rPr>
          <w:rFonts w:ascii="Times New Roman" w:hAnsi="Times New Roman"/>
          <w:sz w:val="20"/>
        </w:rPr>
        <w:t xml:space="preserve">, jak i </w:t>
      </w:r>
      <w:r w:rsidRPr="00510FBF">
        <w:rPr>
          <w:rFonts w:ascii="Times New Roman" w:hAnsi="Times New Roman"/>
          <w:i/>
          <w:sz w:val="20"/>
        </w:rPr>
        <w:t>Nowego Testamentu</w:t>
      </w:r>
      <w:r w:rsidRPr="00510FBF">
        <w:rPr>
          <w:rFonts w:ascii="Times New Roman" w:hAnsi="Times New Roman"/>
          <w:sz w:val="20"/>
        </w:rPr>
        <w:t xml:space="preserve">) był Bogiem innego czasu, nie mającym nic wspólnego z naszym codziennym życiem i pracą. Jak osoba mająca egzystencjalne podejście do życia  może postrzegać </w:t>
      </w:r>
      <w:r w:rsidRPr="00510FBF">
        <w:rPr>
          <w:rFonts w:ascii="Times New Roman" w:hAnsi="Times New Roman"/>
          <w:i/>
          <w:sz w:val="20"/>
        </w:rPr>
        <w:t>Biblię</w:t>
      </w:r>
      <w:r w:rsidRPr="00510FBF">
        <w:rPr>
          <w:rFonts w:ascii="Times New Roman" w:hAnsi="Times New Roman"/>
          <w:sz w:val="20"/>
        </w:rPr>
        <w:t xml:space="preserve"> i Boga bardziej osobiście?</w:t>
      </w:r>
    </w:p>
    <w:p w14:paraId="7765B4E5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3D9A07E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Jak przestrzegasz biblijnego prawa?</w:t>
      </w:r>
    </w:p>
    <w:p w14:paraId="1EEEB973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Sobota.</w:t>
      </w:r>
      <w:r w:rsidRPr="00510FBF">
        <w:rPr>
          <w:rFonts w:ascii="Times New Roman" w:hAnsi="Times New Roman"/>
          <w:sz w:val="20"/>
        </w:rPr>
        <w:t xml:space="preserve"> Co możesz zrobić, by od początku tygodnia przygotować się na nadchodzącą sobotę, aby przeżyć ten dzień jako czas radości, dar Boży dla ciebie, a nie jako uciążliwy obowiązek?</w:t>
      </w:r>
    </w:p>
    <w:p w14:paraId="474D22AE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Dziesięcina.</w:t>
      </w:r>
      <w:r w:rsidRPr="00510FBF">
        <w:rPr>
          <w:rFonts w:ascii="Times New Roman" w:hAnsi="Times New Roman"/>
          <w:sz w:val="20"/>
        </w:rPr>
        <w:t xml:space="preserve"> Czy czujesz się zawiedziony, kiedy musisz odłożyć część swoich dochodów dla Boga? Dlaczego tak się czujesz? Co możesz zrobić, by zmienić swoją postawę w kwestii oddawania dziesięciny?</w:t>
      </w:r>
    </w:p>
    <w:p w14:paraId="753845FF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0AE25135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Jak rozumiesz proroctwa mesjanistyczne?</w:t>
      </w:r>
    </w:p>
    <w:p w14:paraId="2752249D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Omówcie następujące punkty:</w:t>
      </w:r>
    </w:p>
    <w:p w14:paraId="15536405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Jako prawdziwe przepowiednie, zgodnie z tym, jak rozumieli je prorocy.</w:t>
      </w:r>
    </w:p>
    <w:p w14:paraId="3B30C425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Jako refleksje odnoszące się jedynie do ówczesnej sytuacji.</w:t>
      </w:r>
    </w:p>
    <w:p w14:paraId="58E19F59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Jako proroctwa o podwójnym zastosowaniu (ówczesnym i przyszłym), reinterpretowane przez pisarzy nowotestamentowych.</w:t>
      </w:r>
    </w:p>
    <w:p w14:paraId="62AB065A" w14:textId="77777777" w:rsidR="00B9066D" w:rsidRPr="00510FBF" w:rsidRDefault="00B9066D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95A3C95" w14:textId="565A9AF2" w:rsidR="00B90CB9" w:rsidRPr="00510FBF" w:rsidRDefault="00B90CB9" w:rsidP="00B90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sectPr w:rsidR="00B90CB9" w:rsidRPr="00510F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B87A5" w14:textId="77777777" w:rsidR="000D704C" w:rsidRDefault="000D704C" w:rsidP="00A820C9">
      <w:r>
        <w:separator/>
      </w:r>
    </w:p>
  </w:endnote>
  <w:endnote w:type="continuationSeparator" w:id="0">
    <w:p w14:paraId="6021E2AD" w14:textId="77777777" w:rsidR="000D704C" w:rsidRDefault="000D704C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77777777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DC7A32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303B3" w14:textId="77777777" w:rsidR="000D704C" w:rsidRDefault="000D704C" w:rsidP="00A820C9">
      <w:r>
        <w:separator/>
      </w:r>
    </w:p>
  </w:footnote>
  <w:footnote w:type="continuationSeparator" w:id="0">
    <w:p w14:paraId="3688D9BD" w14:textId="77777777" w:rsidR="000D704C" w:rsidRDefault="000D704C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B9EB" w14:textId="4616300A" w:rsidR="00B2361E" w:rsidRPr="00B2361E" w:rsidRDefault="00B2361E" w:rsidP="00B2361E">
    <w:pPr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192589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/2021, </w:t>
    </w:r>
    <w:r w:rsidR="00262338">
      <w:rPr>
        <w:rFonts w:ascii="Times New Roman" w:hAnsi="Times New Roman"/>
        <w:sz w:val="16"/>
        <w:szCs w:val="16"/>
      </w:rPr>
      <w:t>Clifford Goldstein – Teraźniejsza prawda w Księdze Powtórzonego Prawa</w:t>
    </w:r>
  </w:p>
  <w:p w14:paraId="7F024918" w14:textId="705F1BAF" w:rsidR="00A97ECA" w:rsidRPr="00AA0514" w:rsidRDefault="00B2361E" w:rsidP="00192589">
    <w:pPr>
      <w:rPr>
        <w:rFonts w:ascii="Times New Roman" w:hAnsi="Times New Roman"/>
        <w:b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E15431">
      <w:rPr>
        <w:rFonts w:ascii="Times New Roman" w:hAnsi="Times New Roman"/>
        <w:sz w:val="16"/>
        <w:szCs w:val="16"/>
      </w:rPr>
      <w:t xml:space="preserve"> </w:t>
    </w:r>
    <w:r w:rsidR="00C518BF">
      <w:rPr>
        <w:rFonts w:ascii="Times New Roman" w:hAnsi="Times New Roman"/>
        <w:sz w:val="16"/>
        <w:szCs w:val="16"/>
      </w:rPr>
      <w:t>1</w:t>
    </w:r>
    <w:r w:rsidR="00637276">
      <w:rPr>
        <w:rFonts w:ascii="Times New Roman" w:hAnsi="Times New Roman"/>
        <w:sz w:val="16"/>
        <w:szCs w:val="16"/>
      </w:rPr>
      <w:t>2</w:t>
    </w:r>
    <w:r w:rsidR="004B48A7">
      <w:rPr>
        <w:rFonts w:ascii="Times New Roman" w:hAnsi="Times New Roman"/>
        <w:sz w:val="16"/>
        <w:szCs w:val="16"/>
      </w:rPr>
      <w:t xml:space="preserve"> </w:t>
    </w:r>
    <w:r w:rsidR="0015413F">
      <w:rPr>
        <w:rFonts w:ascii="Times New Roman" w:hAnsi="Times New Roman"/>
        <w:sz w:val="16"/>
        <w:szCs w:val="16"/>
      </w:rPr>
      <w:t>–</w:t>
    </w:r>
    <w:r w:rsidR="002A0BB1">
      <w:rPr>
        <w:rFonts w:ascii="Times New Roman" w:hAnsi="Times New Roman"/>
        <w:sz w:val="16"/>
        <w:szCs w:val="16"/>
      </w:rPr>
      <w:t xml:space="preserve"> </w:t>
    </w:r>
    <w:r w:rsidR="00BA48CF">
      <w:rPr>
        <w:rFonts w:ascii="Times New Roman" w:hAnsi="Times New Roman"/>
        <w:sz w:val="16"/>
        <w:szCs w:val="16"/>
      </w:rPr>
      <w:t xml:space="preserve">Księga Powtórzonego Prawa w </w:t>
    </w:r>
    <w:r w:rsidR="00637276">
      <w:rPr>
        <w:rFonts w:ascii="Times New Roman" w:hAnsi="Times New Roman"/>
        <w:sz w:val="16"/>
        <w:szCs w:val="16"/>
      </w:rPr>
      <w:t>Nowym Testamencie</w:t>
    </w:r>
    <w:r w:rsidR="00C02E27">
      <w:rPr>
        <w:rFonts w:ascii="Times New Roman" w:hAnsi="Times New Roman"/>
        <w:sz w:val="16"/>
        <w:szCs w:val="16"/>
      </w:rPr>
      <w:t xml:space="preserve"> </w:t>
    </w:r>
    <w:r w:rsidR="00B90CB9">
      <w:rPr>
        <w:rFonts w:ascii="Times New Roman" w:hAnsi="Times New Roman"/>
        <w:sz w:val="16"/>
        <w:szCs w:val="16"/>
      </w:rPr>
      <w:t xml:space="preserve"> </w:t>
    </w:r>
    <w:r w:rsidR="00192589">
      <w:rPr>
        <w:rFonts w:ascii="Times New Roman" w:hAnsi="Times New Roman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6FBF"/>
    <w:rsid w:val="0002114D"/>
    <w:rsid w:val="00027C13"/>
    <w:rsid w:val="000314C7"/>
    <w:rsid w:val="00034222"/>
    <w:rsid w:val="00035493"/>
    <w:rsid w:val="00041B9C"/>
    <w:rsid w:val="0004300C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5BF6"/>
    <w:rsid w:val="00097610"/>
    <w:rsid w:val="000A5E76"/>
    <w:rsid w:val="000A7CAE"/>
    <w:rsid w:val="000B4665"/>
    <w:rsid w:val="000C39FA"/>
    <w:rsid w:val="000C43D8"/>
    <w:rsid w:val="000D0B43"/>
    <w:rsid w:val="000D3669"/>
    <w:rsid w:val="000D704C"/>
    <w:rsid w:val="000E37F9"/>
    <w:rsid w:val="000E3D8C"/>
    <w:rsid w:val="000F4D2C"/>
    <w:rsid w:val="00125D50"/>
    <w:rsid w:val="00125E33"/>
    <w:rsid w:val="00130250"/>
    <w:rsid w:val="00131D4E"/>
    <w:rsid w:val="001344DC"/>
    <w:rsid w:val="001407C0"/>
    <w:rsid w:val="0015413F"/>
    <w:rsid w:val="00160A2E"/>
    <w:rsid w:val="00161F23"/>
    <w:rsid w:val="00162107"/>
    <w:rsid w:val="001634CA"/>
    <w:rsid w:val="00167273"/>
    <w:rsid w:val="0017267D"/>
    <w:rsid w:val="00172E60"/>
    <w:rsid w:val="00180FC0"/>
    <w:rsid w:val="001900C2"/>
    <w:rsid w:val="00191138"/>
    <w:rsid w:val="00192589"/>
    <w:rsid w:val="001A14AD"/>
    <w:rsid w:val="001A64A1"/>
    <w:rsid w:val="001B6CB1"/>
    <w:rsid w:val="001C3DCA"/>
    <w:rsid w:val="001D207D"/>
    <w:rsid w:val="001E3960"/>
    <w:rsid w:val="001F3AB8"/>
    <w:rsid w:val="00211923"/>
    <w:rsid w:val="00212D47"/>
    <w:rsid w:val="002215B7"/>
    <w:rsid w:val="0024201E"/>
    <w:rsid w:val="002426C3"/>
    <w:rsid w:val="00247ECF"/>
    <w:rsid w:val="00256C0B"/>
    <w:rsid w:val="00262338"/>
    <w:rsid w:val="00262399"/>
    <w:rsid w:val="002646E2"/>
    <w:rsid w:val="002666F2"/>
    <w:rsid w:val="00267AD9"/>
    <w:rsid w:val="0027003D"/>
    <w:rsid w:val="0028485A"/>
    <w:rsid w:val="002A0BB1"/>
    <w:rsid w:val="002A0CBE"/>
    <w:rsid w:val="002A1958"/>
    <w:rsid w:val="002A48E6"/>
    <w:rsid w:val="002B2505"/>
    <w:rsid w:val="002B7744"/>
    <w:rsid w:val="002B7FC3"/>
    <w:rsid w:val="002C1A03"/>
    <w:rsid w:val="002C4FFF"/>
    <w:rsid w:val="002D1C21"/>
    <w:rsid w:val="002D3EDC"/>
    <w:rsid w:val="002F38CF"/>
    <w:rsid w:val="002F7A06"/>
    <w:rsid w:val="00300F15"/>
    <w:rsid w:val="00305BBE"/>
    <w:rsid w:val="003207A1"/>
    <w:rsid w:val="003233CA"/>
    <w:rsid w:val="00323F87"/>
    <w:rsid w:val="0033532F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94C88"/>
    <w:rsid w:val="003A03DD"/>
    <w:rsid w:val="003A1217"/>
    <w:rsid w:val="003A4695"/>
    <w:rsid w:val="003B30B7"/>
    <w:rsid w:val="003B7F2E"/>
    <w:rsid w:val="003C11EC"/>
    <w:rsid w:val="003C5237"/>
    <w:rsid w:val="003D1F71"/>
    <w:rsid w:val="003D35FF"/>
    <w:rsid w:val="003E5187"/>
    <w:rsid w:val="003E67C5"/>
    <w:rsid w:val="00404868"/>
    <w:rsid w:val="00411F03"/>
    <w:rsid w:val="00422C48"/>
    <w:rsid w:val="0043366A"/>
    <w:rsid w:val="0044128C"/>
    <w:rsid w:val="0044786C"/>
    <w:rsid w:val="0045585B"/>
    <w:rsid w:val="00457757"/>
    <w:rsid w:val="004622A1"/>
    <w:rsid w:val="00473EDB"/>
    <w:rsid w:val="004765D6"/>
    <w:rsid w:val="00482556"/>
    <w:rsid w:val="004A07EB"/>
    <w:rsid w:val="004A1334"/>
    <w:rsid w:val="004A1F71"/>
    <w:rsid w:val="004A3508"/>
    <w:rsid w:val="004A68C6"/>
    <w:rsid w:val="004B48A7"/>
    <w:rsid w:val="004B532A"/>
    <w:rsid w:val="004B6D09"/>
    <w:rsid w:val="004D072B"/>
    <w:rsid w:val="004E0A2B"/>
    <w:rsid w:val="004E2DE9"/>
    <w:rsid w:val="004E40B6"/>
    <w:rsid w:val="004E7727"/>
    <w:rsid w:val="004F0AA1"/>
    <w:rsid w:val="004F7F95"/>
    <w:rsid w:val="00504576"/>
    <w:rsid w:val="00512C47"/>
    <w:rsid w:val="005205E4"/>
    <w:rsid w:val="00521F52"/>
    <w:rsid w:val="00535F72"/>
    <w:rsid w:val="00544549"/>
    <w:rsid w:val="00545A28"/>
    <w:rsid w:val="00547F5F"/>
    <w:rsid w:val="005537F3"/>
    <w:rsid w:val="005538E5"/>
    <w:rsid w:val="0055562E"/>
    <w:rsid w:val="005675D2"/>
    <w:rsid w:val="0058262E"/>
    <w:rsid w:val="0058291A"/>
    <w:rsid w:val="0058625A"/>
    <w:rsid w:val="00597FD2"/>
    <w:rsid w:val="005A1543"/>
    <w:rsid w:val="005A45AA"/>
    <w:rsid w:val="005B1BDE"/>
    <w:rsid w:val="005B5CE3"/>
    <w:rsid w:val="005C0E8B"/>
    <w:rsid w:val="005C7E3B"/>
    <w:rsid w:val="005D533A"/>
    <w:rsid w:val="005D58BF"/>
    <w:rsid w:val="005D7BEF"/>
    <w:rsid w:val="005E01EF"/>
    <w:rsid w:val="005F1934"/>
    <w:rsid w:val="005F4946"/>
    <w:rsid w:val="00602B6F"/>
    <w:rsid w:val="00615FE6"/>
    <w:rsid w:val="006237C5"/>
    <w:rsid w:val="006254DA"/>
    <w:rsid w:val="00632A41"/>
    <w:rsid w:val="0063445E"/>
    <w:rsid w:val="00637276"/>
    <w:rsid w:val="0066123D"/>
    <w:rsid w:val="006624AC"/>
    <w:rsid w:val="006657A7"/>
    <w:rsid w:val="00673C79"/>
    <w:rsid w:val="00680F75"/>
    <w:rsid w:val="00685F14"/>
    <w:rsid w:val="00690562"/>
    <w:rsid w:val="006960FC"/>
    <w:rsid w:val="00697041"/>
    <w:rsid w:val="006A77D5"/>
    <w:rsid w:val="006B4286"/>
    <w:rsid w:val="006B4503"/>
    <w:rsid w:val="006C1AD2"/>
    <w:rsid w:val="006C3510"/>
    <w:rsid w:val="006C423D"/>
    <w:rsid w:val="006D05BE"/>
    <w:rsid w:val="006F2FFB"/>
    <w:rsid w:val="0071208E"/>
    <w:rsid w:val="00725650"/>
    <w:rsid w:val="00726F3A"/>
    <w:rsid w:val="00727749"/>
    <w:rsid w:val="007346EB"/>
    <w:rsid w:val="0074017C"/>
    <w:rsid w:val="007608BA"/>
    <w:rsid w:val="0076232D"/>
    <w:rsid w:val="00767D8E"/>
    <w:rsid w:val="00776C42"/>
    <w:rsid w:val="007812DA"/>
    <w:rsid w:val="00785516"/>
    <w:rsid w:val="007934DA"/>
    <w:rsid w:val="0079785B"/>
    <w:rsid w:val="007B67F4"/>
    <w:rsid w:val="007C0F83"/>
    <w:rsid w:val="007C6037"/>
    <w:rsid w:val="007D0F98"/>
    <w:rsid w:val="007E2A1C"/>
    <w:rsid w:val="007E39EB"/>
    <w:rsid w:val="007F2BD7"/>
    <w:rsid w:val="0081514B"/>
    <w:rsid w:val="008202AD"/>
    <w:rsid w:val="00833A91"/>
    <w:rsid w:val="00837D04"/>
    <w:rsid w:val="00845363"/>
    <w:rsid w:val="008572DB"/>
    <w:rsid w:val="00870FEF"/>
    <w:rsid w:val="0087312A"/>
    <w:rsid w:val="00883CE6"/>
    <w:rsid w:val="00897134"/>
    <w:rsid w:val="008A4A07"/>
    <w:rsid w:val="008A4CC9"/>
    <w:rsid w:val="008A5882"/>
    <w:rsid w:val="008B44EC"/>
    <w:rsid w:val="008C1D23"/>
    <w:rsid w:val="008C1F5B"/>
    <w:rsid w:val="008C694D"/>
    <w:rsid w:val="008E0114"/>
    <w:rsid w:val="008E1633"/>
    <w:rsid w:val="009039D9"/>
    <w:rsid w:val="00903AB3"/>
    <w:rsid w:val="00904615"/>
    <w:rsid w:val="00910645"/>
    <w:rsid w:val="0091548D"/>
    <w:rsid w:val="00926046"/>
    <w:rsid w:val="00933C8E"/>
    <w:rsid w:val="00934141"/>
    <w:rsid w:val="00935E1F"/>
    <w:rsid w:val="009378A8"/>
    <w:rsid w:val="00947D49"/>
    <w:rsid w:val="00971A12"/>
    <w:rsid w:val="00974B48"/>
    <w:rsid w:val="0097572F"/>
    <w:rsid w:val="00980C54"/>
    <w:rsid w:val="0099242B"/>
    <w:rsid w:val="00992622"/>
    <w:rsid w:val="00993777"/>
    <w:rsid w:val="00997535"/>
    <w:rsid w:val="009A6521"/>
    <w:rsid w:val="009A7A43"/>
    <w:rsid w:val="009B4423"/>
    <w:rsid w:val="009C3EC3"/>
    <w:rsid w:val="009D20F6"/>
    <w:rsid w:val="009E4CF6"/>
    <w:rsid w:val="009E6419"/>
    <w:rsid w:val="009E786E"/>
    <w:rsid w:val="009F11FB"/>
    <w:rsid w:val="009F74C4"/>
    <w:rsid w:val="00A03AF6"/>
    <w:rsid w:val="00A06761"/>
    <w:rsid w:val="00A10178"/>
    <w:rsid w:val="00A1594B"/>
    <w:rsid w:val="00A17612"/>
    <w:rsid w:val="00A22AA7"/>
    <w:rsid w:val="00A249C3"/>
    <w:rsid w:val="00A26A3B"/>
    <w:rsid w:val="00A32AA6"/>
    <w:rsid w:val="00A372AD"/>
    <w:rsid w:val="00A41678"/>
    <w:rsid w:val="00A45D17"/>
    <w:rsid w:val="00A47653"/>
    <w:rsid w:val="00A47A53"/>
    <w:rsid w:val="00A501CB"/>
    <w:rsid w:val="00A51056"/>
    <w:rsid w:val="00A55737"/>
    <w:rsid w:val="00A57F47"/>
    <w:rsid w:val="00A60126"/>
    <w:rsid w:val="00A65204"/>
    <w:rsid w:val="00A65821"/>
    <w:rsid w:val="00A658B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98E"/>
    <w:rsid w:val="00A97ECA"/>
    <w:rsid w:val="00AA0514"/>
    <w:rsid w:val="00AA28FC"/>
    <w:rsid w:val="00AA336A"/>
    <w:rsid w:val="00AA4615"/>
    <w:rsid w:val="00AB40C3"/>
    <w:rsid w:val="00AB6768"/>
    <w:rsid w:val="00AC3205"/>
    <w:rsid w:val="00AD4D5B"/>
    <w:rsid w:val="00AD7194"/>
    <w:rsid w:val="00B12BA8"/>
    <w:rsid w:val="00B2361E"/>
    <w:rsid w:val="00B244DF"/>
    <w:rsid w:val="00B27439"/>
    <w:rsid w:val="00B30841"/>
    <w:rsid w:val="00B31A94"/>
    <w:rsid w:val="00B32C6C"/>
    <w:rsid w:val="00B42BF8"/>
    <w:rsid w:val="00B5045B"/>
    <w:rsid w:val="00B5278F"/>
    <w:rsid w:val="00B53BCA"/>
    <w:rsid w:val="00B608AC"/>
    <w:rsid w:val="00B67684"/>
    <w:rsid w:val="00B70608"/>
    <w:rsid w:val="00B9066D"/>
    <w:rsid w:val="00B90CB9"/>
    <w:rsid w:val="00B941C8"/>
    <w:rsid w:val="00BA48CF"/>
    <w:rsid w:val="00BA5879"/>
    <w:rsid w:val="00BA7EDD"/>
    <w:rsid w:val="00BC756F"/>
    <w:rsid w:val="00BD0104"/>
    <w:rsid w:val="00BE5836"/>
    <w:rsid w:val="00BF6B76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757B"/>
    <w:rsid w:val="00C30958"/>
    <w:rsid w:val="00C34141"/>
    <w:rsid w:val="00C42F81"/>
    <w:rsid w:val="00C43D2B"/>
    <w:rsid w:val="00C44AC9"/>
    <w:rsid w:val="00C518BF"/>
    <w:rsid w:val="00C539F9"/>
    <w:rsid w:val="00C61B5B"/>
    <w:rsid w:val="00C711AB"/>
    <w:rsid w:val="00C76D9B"/>
    <w:rsid w:val="00C85D32"/>
    <w:rsid w:val="00C93192"/>
    <w:rsid w:val="00CA1F88"/>
    <w:rsid w:val="00CB2110"/>
    <w:rsid w:val="00CB286C"/>
    <w:rsid w:val="00CB571A"/>
    <w:rsid w:val="00CD55B6"/>
    <w:rsid w:val="00CD6B02"/>
    <w:rsid w:val="00CE4997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3080D"/>
    <w:rsid w:val="00D43042"/>
    <w:rsid w:val="00D43CA9"/>
    <w:rsid w:val="00D460C5"/>
    <w:rsid w:val="00D5040D"/>
    <w:rsid w:val="00D5746C"/>
    <w:rsid w:val="00D67231"/>
    <w:rsid w:val="00D7222D"/>
    <w:rsid w:val="00D746F4"/>
    <w:rsid w:val="00DA421C"/>
    <w:rsid w:val="00DB7651"/>
    <w:rsid w:val="00DC750C"/>
    <w:rsid w:val="00DC7A32"/>
    <w:rsid w:val="00DD7EA6"/>
    <w:rsid w:val="00DE011A"/>
    <w:rsid w:val="00DE0B9C"/>
    <w:rsid w:val="00DE5AB9"/>
    <w:rsid w:val="00DF1EA2"/>
    <w:rsid w:val="00E024F6"/>
    <w:rsid w:val="00E03075"/>
    <w:rsid w:val="00E06F36"/>
    <w:rsid w:val="00E147E0"/>
    <w:rsid w:val="00E15431"/>
    <w:rsid w:val="00E23861"/>
    <w:rsid w:val="00E274A1"/>
    <w:rsid w:val="00E32868"/>
    <w:rsid w:val="00E366EF"/>
    <w:rsid w:val="00E60CC8"/>
    <w:rsid w:val="00E70CA3"/>
    <w:rsid w:val="00E74F52"/>
    <w:rsid w:val="00E7674E"/>
    <w:rsid w:val="00E8687A"/>
    <w:rsid w:val="00E86CB7"/>
    <w:rsid w:val="00E90F2D"/>
    <w:rsid w:val="00E9226C"/>
    <w:rsid w:val="00E95C9D"/>
    <w:rsid w:val="00EB1FDE"/>
    <w:rsid w:val="00EB34DD"/>
    <w:rsid w:val="00EC1ADB"/>
    <w:rsid w:val="00EF226A"/>
    <w:rsid w:val="00EF3E9E"/>
    <w:rsid w:val="00EF502C"/>
    <w:rsid w:val="00F16117"/>
    <w:rsid w:val="00F16358"/>
    <w:rsid w:val="00F2397B"/>
    <w:rsid w:val="00F34F5E"/>
    <w:rsid w:val="00F40C65"/>
    <w:rsid w:val="00F42B0D"/>
    <w:rsid w:val="00F47047"/>
    <w:rsid w:val="00F5322D"/>
    <w:rsid w:val="00F711C9"/>
    <w:rsid w:val="00F757EC"/>
    <w:rsid w:val="00F8023F"/>
    <w:rsid w:val="00F86EBE"/>
    <w:rsid w:val="00F96322"/>
    <w:rsid w:val="00FB0002"/>
    <w:rsid w:val="00FB5F4B"/>
    <w:rsid w:val="00FC280C"/>
    <w:rsid w:val="00FC35F3"/>
    <w:rsid w:val="00FE03F9"/>
    <w:rsid w:val="00FF1219"/>
    <w:rsid w:val="00FF1B01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0497-79EA-452E-B33A-0F3C7E8C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1222</Words>
  <Characters>7534</Characters>
  <Application>Microsoft Office Word</Application>
  <DocSecurity>0</DocSecurity>
  <Lines>121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2021-01-27T17:24:00Z</cp:lastPrinted>
  <dcterms:created xsi:type="dcterms:W3CDTF">2021-10-24T12:15:00Z</dcterms:created>
  <dcterms:modified xsi:type="dcterms:W3CDTF">2021-10-24T12:19:00Z</dcterms:modified>
</cp:coreProperties>
</file>