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C5" w:rsidRDefault="00A820C9" w:rsidP="00A820C9">
      <w:pPr>
        <w:ind w:firstLine="0"/>
        <w:rPr>
          <w:rFonts w:ascii="Times New Roman" w:hAnsi="Times New Roman"/>
          <w:sz w:val="20"/>
        </w:rPr>
      </w:pPr>
      <w:r w:rsidRPr="000E3D8C">
        <w:rPr>
          <w:rFonts w:ascii="Times New Roman" w:hAnsi="Times New Roman"/>
          <w:sz w:val="20"/>
        </w:rPr>
        <w:t xml:space="preserve"> Lekcja </w:t>
      </w:r>
      <w:r w:rsidR="009039D9">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9039D9">
        <w:rPr>
          <w:rFonts w:ascii="Times New Roman" w:hAnsi="Times New Roman"/>
          <w:sz w:val="20"/>
        </w:rPr>
        <w:t>9</w:t>
      </w:r>
      <w:r w:rsidR="00E86CB7">
        <w:rPr>
          <w:rFonts w:ascii="Times New Roman" w:hAnsi="Times New Roman"/>
          <w:sz w:val="20"/>
        </w:rPr>
        <w:t xml:space="preserve"> stycznia </w:t>
      </w:r>
      <w:r w:rsidR="00C045AF">
        <w:rPr>
          <w:rFonts w:ascii="Times New Roman" w:hAnsi="Times New Roman"/>
          <w:sz w:val="20"/>
        </w:rPr>
        <w:t xml:space="preserve"> </w:t>
      </w:r>
    </w:p>
    <w:p w:rsidR="00A820C9" w:rsidRDefault="00F47047" w:rsidP="00A820C9">
      <w:pPr>
        <w:ind w:firstLine="0"/>
        <w:rPr>
          <w:rFonts w:ascii="Times New Roman" w:hAnsi="Times New Roman"/>
          <w:sz w:val="20"/>
        </w:rPr>
      </w:pPr>
      <w:r>
        <w:rPr>
          <w:rFonts w:ascii="Times New Roman" w:hAnsi="Times New Roman"/>
          <w:sz w:val="20"/>
        </w:rPr>
        <w:t xml:space="preserve"> </w:t>
      </w:r>
    </w:p>
    <w:p w:rsidR="00A22AA7" w:rsidRPr="00E86CB7" w:rsidRDefault="00A22AA7" w:rsidP="00E86CB7">
      <w:pPr>
        <w:jc w:val="center"/>
        <w:rPr>
          <w:rFonts w:ascii="Times New Roman" w:hAnsi="Times New Roman"/>
          <w:b/>
          <w:sz w:val="28"/>
          <w:lang w:val="en-US"/>
        </w:rPr>
      </w:pPr>
    </w:p>
    <w:p w:rsidR="00E86CB7" w:rsidRPr="00E86CB7" w:rsidRDefault="00E86CB7" w:rsidP="00E86CB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b/>
          <w:sz w:val="28"/>
        </w:rPr>
      </w:pPr>
      <w:r w:rsidRPr="00E86CB7">
        <w:rPr>
          <w:rFonts w:ascii="Times New Roman" w:hAnsi="Times New Roman"/>
          <w:b/>
          <w:sz w:val="28"/>
        </w:rPr>
        <w:t xml:space="preserve">Kryzys </w:t>
      </w:r>
      <w:r w:rsidR="009039D9">
        <w:rPr>
          <w:rFonts w:ascii="Times New Roman" w:hAnsi="Times New Roman"/>
          <w:b/>
          <w:sz w:val="28"/>
        </w:rPr>
        <w:t>przywództwa</w:t>
      </w:r>
    </w:p>
    <w:p w:rsidR="00E86CB7" w:rsidRPr="00EF6A2C" w:rsidRDefault="00E86CB7" w:rsidP="00E86CB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b/>
          <w:bCs/>
          <w:sz w:val="20"/>
        </w:rPr>
        <w:t xml:space="preserve">Przedmiot studium: </w:t>
      </w:r>
      <w:r w:rsidRPr="00EF6A2C">
        <w:rPr>
          <w:rFonts w:ascii="Times New Roman" w:hAnsi="Times New Roman"/>
          <w:iCs/>
          <w:sz w:val="20"/>
        </w:rPr>
        <w:t>Iz 6.</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b/>
          <w:bCs/>
          <w:sz w:val="20"/>
        </w:rPr>
        <w:t>Część I: Przegląd</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Przedmiotem naszego studium w tym tygodniu jest Iz 6, a zwłaszcza trzy pierwsze wersety tego rozdziału. Pierwszy werset mówi, że „w </w:t>
      </w:r>
      <w:r w:rsidRPr="00EF6A2C">
        <w:rPr>
          <w:rFonts w:ascii="Times New Roman" w:eastAsiaTheme="minorHAnsi" w:hAnsi="Times New Roman"/>
          <w:color w:val="000000"/>
          <w:sz w:val="20"/>
          <w:lang w:eastAsia="en-US"/>
        </w:rPr>
        <w:t>roku śmierci króla Uzjasza</w:t>
      </w:r>
      <w:r w:rsidRPr="00EF6A2C">
        <w:rPr>
          <w:rFonts w:ascii="Times New Roman" w:hAnsi="Times New Roman"/>
          <w:sz w:val="20"/>
        </w:rPr>
        <w:t>” Izajasz miał wizję „</w:t>
      </w:r>
      <w:r w:rsidRPr="00EF6A2C">
        <w:rPr>
          <w:rFonts w:ascii="Times New Roman" w:eastAsiaTheme="minorHAnsi" w:hAnsi="Times New Roman"/>
          <w:color w:val="000000"/>
          <w:sz w:val="20"/>
          <w:lang w:eastAsia="en-US"/>
        </w:rPr>
        <w:t>Pana siedzącego na tronie</w:t>
      </w:r>
      <w:r w:rsidRPr="00EF6A2C">
        <w:rPr>
          <w:rFonts w:ascii="Times New Roman" w:hAnsi="Times New Roman"/>
          <w:sz w:val="20"/>
        </w:rPr>
        <w:t>”. Tak więc było to w 740 lub 739 roku p.n.e. Dlaczego prorok nawiązuje do śmierci króla? Czy jest to jedynie nawiązanie do ram czasowych? Wspominając znanego władcę, Izajasz pragnął przeciwstawić ludzkiemu królowi majestat i</w:t>
      </w:r>
      <w:r>
        <w:rPr>
          <w:rFonts w:ascii="Times New Roman" w:hAnsi="Times New Roman"/>
          <w:sz w:val="20"/>
        </w:rPr>
        <w:t> </w:t>
      </w:r>
      <w:r w:rsidRPr="00EF6A2C">
        <w:rPr>
          <w:rFonts w:ascii="Times New Roman" w:hAnsi="Times New Roman"/>
          <w:sz w:val="20"/>
        </w:rPr>
        <w:t xml:space="preserve"> chwałę Króla wszechświata. Obok innych cech, świętość jest jedną z najważniejszych cech Władcy całego stworzenia. Nasze studium podzielimy na trzy części: (1) ludzka chwała, (2) najwyższy Król i (3) nasz święty i</w:t>
      </w:r>
      <w:r>
        <w:rPr>
          <w:rFonts w:ascii="Times New Roman" w:hAnsi="Times New Roman"/>
          <w:sz w:val="20"/>
        </w:rPr>
        <w:t> </w:t>
      </w:r>
      <w:r w:rsidRPr="00EF6A2C">
        <w:rPr>
          <w:rFonts w:ascii="Times New Roman" w:hAnsi="Times New Roman"/>
          <w:sz w:val="20"/>
        </w:rPr>
        <w:t xml:space="preserve"> pełen chwały Pan.</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lang w:val="en-GB"/>
        </w:rPr>
      </w:pPr>
      <w:r w:rsidRPr="00EF6A2C">
        <w:rPr>
          <w:rFonts w:ascii="Times New Roman" w:hAnsi="Times New Roman"/>
          <w:b/>
          <w:bCs/>
          <w:sz w:val="20"/>
          <w:lang w:val="en-GB"/>
        </w:rPr>
        <w:t>Część II: Komentarz</w:t>
      </w:r>
      <w:r w:rsidRPr="00EF6A2C">
        <w:rPr>
          <w:rFonts w:ascii="Times New Roman" w:hAnsi="Times New Roman"/>
          <w:sz w:val="20"/>
          <w:lang w:val="en-GB"/>
        </w:rPr>
        <w:t> </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i/>
          <w:sz w:val="20"/>
        </w:rPr>
        <w:t>Ludzka chwała</w:t>
      </w:r>
      <w:r w:rsidRPr="00EF6A2C">
        <w:rPr>
          <w:rFonts w:ascii="Times New Roman" w:hAnsi="Times New Roman"/>
          <w:sz w:val="20"/>
        </w:rPr>
        <w:t>. Niektórzy uczeni zasugerowali, że wizja Izajasza w 6 rozdziale jest ogniwem łączącym poprzednie rozdziały (1-5) z resztą księgi. Na przykład, Edward J. Young wyznaje pogląd, że prorok w pierwszych pięciu rozdziałach przedstawia sedno swojego przesłania, a potem relacjonuje swoje prorockie powołanie (</w:t>
      </w:r>
      <w:r w:rsidRPr="00EF6A2C">
        <w:rPr>
          <w:rFonts w:ascii="Times New Roman" w:hAnsi="Times New Roman"/>
          <w:sz w:val="20"/>
          <w:lang w:val="en-GB"/>
        </w:rPr>
        <w:t xml:space="preserve">Edward J. Young, </w:t>
      </w:r>
      <w:r w:rsidRPr="00EF6A2C">
        <w:rPr>
          <w:rFonts w:ascii="Times New Roman" w:hAnsi="Times New Roman"/>
          <w:i/>
          <w:iCs/>
          <w:sz w:val="20"/>
          <w:lang w:val="en-GB"/>
        </w:rPr>
        <w:t>The Book of Isaiah: The English Text, With Introduction, Exposition, and Notes</w:t>
      </w:r>
      <w:r w:rsidRPr="00EF6A2C">
        <w:rPr>
          <w:rFonts w:ascii="Times New Roman" w:hAnsi="Times New Roman"/>
          <w:sz w:val="20"/>
          <w:lang w:val="en-GB"/>
        </w:rPr>
        <w:t>, Grand Rapids 1985, t. 1, s. 233</w:t>
      </w:r>
      <w:r w:rsidRPr="00EF6A2C">
        <w:rPr>
          <w:rFonts w:ascii="Times New Roman" w:hAnsi="Times New Roman"/>
          <w:sz w:val="20"/>
        </w:rPr>
        <w:t>).</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i/>
          <w:sz w:val="20"/>
        </w:rPr>
        <w:t>2. Księga Kronik</w:t>
      </w:r>
      <w:r w:rsidRPr="00EF6A2C">
        <w:rPr>
          <w:rFonts w:ascii="Times New Roman" w:hAnsi="Times New Roman"/>
          <w:sz w:val="20"/>
        </w:rPr>
        <w:t xml:space="preserve"> przedstawia zarys panowania króla, o śmierci którego wspomina Iz 6. 2 Krn 26 szeroko opisuje dokonania Uzjasza w ciągu jego 52-letniego panowania w Judzie </w:t>
      </w:r>
      <w:r w:rsidRPr="00EF6A2C">
        <w:rPr>
          <w:rFonts w:ascii="Times New Roman" w:hAnsi="Times New Roman"/>
          <w:iCs/>
          <w:sz w:val="20"/>
          <w:lang w:val="en-GB"/>
        </w:rPr>
        <w:t>(2 Krn 26,3)</w:t>
      </w:r>
      <w:r w:rsidRPr="00EF6A2C">
        <w:rPr>
          <w:rFonts w:ascii="Times New Roman" w:hAnsi="Times New Roman"/>
          <w:sz w:val="20"/>
        </w:rPr>
        <w:t xml:space="preserve">. Między innymi znaczącymi osiągnięciami podsumowanie wymienia: strategię militarną i podbój nowych terenów </w:t>
      </w:r>
      <w:r w:rsidRPr="00EF6A2C">
        <w:rPr>
          <w:rFonts w:ascii="Times New Roman" w:hAnsi="Times New Roman"/>
          <w:iCs/>
          <w:sz w:val="20"/>
          <w:lang w:val="en-GB"/>
        </w:rPr>
        <w:t>(2 Krn 26,6-7)</w:t>
      </w:r>
      <w:r w:rsidRPr="00EF6A2C">
        <w:rPr>
          <w:rFonts w:ascii="Times New Roman" w:hAnsi="Times New Roman"/>
          <w:sz w:val="20"/>
        </w:rPr>
        <w:t xml:space="preserve">, stworzenie licznej i dobrze uzbrojonej armii </w:t>
      </w:r>
      <w:r w:rsidRPr="00EF6A2C">
        <w:rPr>
          <w:rFonts w:ascii="Times New Roman" w:hAnsi="Times New Roman"/>
          <w:iCs/>
          <w:sz w:val="20"/>
          <w:lang w:val="en-GB"/>
        </w:rPr>
        <w:t>(2 Krn 26,11-14)</w:t>
      </w:r>
      <w:r w:rsidRPr="00EF6A2C">
        <w:rPr>
          <w:rFonts w:ascii="Times New Roman" w:hAnsi="Times New Roman"/>
          <w:sz w:val="20"/>
        </w:rPr>
        <w:t xml:space="preserve">, wynalazki techniczne w dziedzinie militarnej </w:t>
      </w:r>
      <w:r w:rsidRPr="00EF6A2C">
        <w:rPr>
          <w:rFonts w:ascii="Times New Roman" w:hAnsi="Times New Roman"/>
          <w:iCs/>
          <w:sz w:val="20"/>
          <w:lang w:val="en-GB"/>
        </w:rPr>
        <w:t>(2 Krn 26,15)</w:t>
      </w:r>
      <w:r w:rsidRPr="00EF6A2C">
        <w:rPr>
          <w:rFonts w:ascii="Times New Roman" w:hAnsi="Times New Roman"/>
          <w:sz w:val="20"/>
        </w:rPr>
        <w:t xml:space="preserve">, dobrobyt w kraju </w:t>
      </w:r>
      <w:r w:rsidRPr="00EF6A2C">
        <w:rPr>
          <w:rFonts w:ascii="Times New Roman" w:hAnsi="Times New Roman"/>
          <w:iCs/>
          <w:sz w:val="20"/>
          <w:lang w:val="en-GB"/>
        </w:rPr>
        <w:t>(2 Krn 26,9-10)</w:t>
      </w:r>
      <w:r w:rsidRPr="00EF6A2C">
        <w:rPr>
          <w:rFonts w:ascii="Times New Roman" w:hAnsi="Times New Roman"/>
          <w:sz w:val="20"/>
        </w:rPr>
        <w:t xml:space="preserve"> oraz sławę w regionie </w:t>
      </w:r>
      <w:r w:rsidRPr="00EF6A2C">
        <w:rPr>
          <w:rFonts w:ascii="Times New Roman" w:hAnsi="Times New Roman"/>
          <w:iCs/>
          <w:sz w:val="20"/>
          <w:lang w:val="en-GB"/>
        </w:rPr>
        <w:t>(2 Krn 26,15)</w:t>
      </w:r>
      <w:r w:rsidRPr="00EF6A2C">
        <w:rPr>
          <w:rFonts w:ascii="Times New Roman" w:hAnsi="Times New Roman"/>
          <w:sz w:val="20"/>
        </w:rPr>
        <w:t>. Jednak ten sam rejestr zawiera także negatywne wzmianki o życiu i panowaniu monarchy: „</w:t>
      </w:r>
      <w:r w:rsidRPr="00EF6A2C">
        <w:rPr>
          <w:rFonts w:ascii="Times New Roman" w:eastAsiaTheme="minorHAnsi" w:hAnsi="Times New Roman"/>
          <w:color w:val="000000"/>
          <w:sz w:val="20"/>
          <w:lang w:eastAsia="en-US"/>
        </w:rPr>
        <w:t>Gdy zaś doszedł do potęgi, wzbiło się w pychę jego serce ku własnej jego zgubie i sprzeniewierzył się Panu, Bogu swemu. Wszedł mianowicie do przybytku Pańskiego, aby złożyć ofiarę z kadzidła na ołtarzu kadzenia</w:t>
      </w:r>
      <w:r w:rsidRPr="00EF6A2C">
        <w:rPr>
          <w:rFonts w:ascii="Times New Roman" w:hAnsi="Times New Roman"/>
          <w:sz w:val="20"/>
        </w:rPr>
        <w:t xml:space="preserve">” </w:t>
      </w:r>
      <w:r w:rsidRPr="00EF6A2C">
        <w:rPr>
          <w:rFonts w:ascii="Times New Roman" w:hAnsi="Times New Roman"/>
          <w:iCs/>
          <w:sz w:val="20"/>
          <w:lang w:val="en-GB"/>
        </w:rPr>
        <w:t>(2 Krn 26,16)</w:t>
      </w:r>
      <w:r w:rsidRPr="00EF6A2C">
        <w:rPr>
          <w:rFonts w:ascii="Times New Roman" w:hAnsi="Times New Roman"/>
          <w:sz w:val="20"/>
        </w:rPr>
        <w:t>. Kapłani oczywiście sprzeciwili się zamiarowi króla. Ostrzegli go, że nie wolno mu tego czynić. Powiedzieli: „</w:t>
      </w:r>
      <w:r w:rsidRPr="00EF6A2C">
        <w:rPr>
          <w:rFonts w:ascii="Times New Roman" w:eastAsiaTheme="minorHAnsi" w:hAnsi="Times New Roman"/>
          <w:color w:val="000000"/>
          <w:sz w:val="20"/>
          <w:lang w:eastAsia="en-US"/>
        </w:rPr>
        <w:t>Wyjdź z przybytku, gdyż dopuściłeś się zniewagi, a nie przyniesie ci to chwały przed Panem, Bogiem</w:t>
      </w:r>
      <w:r w:rsidRPr="00EF6A2C">
        <w:rPr>
          <w:rFonts w:ascii="Times New Roman" w:hAnsi="Times New Roman"/>
          <w:sz w:val="20"/>
        </w:rPr>
        <w:t xml:space="preserve">” </w:t>
      </w:r>
      <w:r w:rsidRPr="00EF6A2C">
        <w:rPr>
          <w:rFonts w:ascii="Times New Roman" w:hAnsi="Times New Roman"/>
          <w:iCs/>
          <w:sz w:val="20"/>
          <w:lang w:val="en-GB"/>
        </w:rPr>
        <w:t>(2 Krn 26,18)</w:t>
      </w:r>
      <w:r w:rsidRPr="00EF6A2C">
        <w:rPr>
          <w:rFonts w:ascii="Times New Roman" w:hAnsi="Times New Roman"/>
          <w:sz w:val="20"/>
        </w:rPr>
        <w:t>. (</w:t>
      </w:r>
      <w:r w:rsidRPr="00EF6A2C">
        <w:rPr>
          <w:rFonts w:ascii="Times New Roman" w:hAnsi="Times New Roman"/>
          <w:i/>
          <w:sz w:val="20"/>
        </w:rPr>
        <w:t>Biblia gdańska</w:t>
      </w:r>
      <w:r w:rsidRPr="00EF6A2C">
        <w:rPr>
          <w:rFonts w:ascii="Times New Roman" w:hAnsi="Times New Roman"/>
          <w:sz w:val="20"/>
        </w:rPr>
        <w:t xml:space="preserve"> tłumaczy hebrajskie słowo </w:t>
      </w:r>
      <w:r w:rsidRPr="00EF6A2C">
        <w:rPr>
          <w:rFonts w:ascii="Times New Roman" w:hAnsi="Times New Roman"/>
          <w:i/>
          <w:iCs/>
          <w:sz w:val="20"/>
        </w:rPr>
        <w:t>ḵāḇôḏ</w:t>
      </w:r>
      <w:r w:rsidRPr="00EF6A2C">
        <w:rPr>
          <w:rFonts w:ascii="Times New Roman" w:hAnsi="Times New Roman"/>
          <w:sz w:val="20"/>
        </w:rPr>
        <w:t xml:space="preserve"> jako „sława”. Większość przekładów tłumaczy „chwała”). Zatem zamiast chwały (</w:t>
      </w:r>
      <w:r w:rsidRPr="00EF6A2C">
        <w:rPr>
          <w:rFonts w:ascii="Times New Roman" w:hAnsi="Times New Roman"/>
          <w:i/>
          <w:iCs/>
          <w:sz w:val="20"/>
        </w:rPr>
        <w:t>ḵāḇôḏ</w:t>
      </w:r>
      <w:r w:rsidRPr="00EF6A2C">
        <w:rPr>
          <w:rFonts w:ascii="Times New Roman" w:hAnsi="Times New Roman"/>
          <w:sz w:val="20"/>
        </w:rPr>
        <w:t>) król otrzymał trąd (</w:t>
      </w:r>
      <w:r w:rsidRPr="00EF6A2C">
        <w:rPr>
          <w:rFonts w:ascii="Times New Roman" w:eastAsia="Calibri" w:hAnsi="Times New Roman"/>
          <w:i/>
          <w:iCs/>
          <w:sz w:val="20"/>
        </w:rPr>
        <w:t>ṣā</w:t>
      </w:r>
      <w:r w:rsidRPr="00EF6A2C">
        <w:rPr>
          <w:rFonts w:ascii="Times New Roman" w:hAnsi="Times New Roman"/>
          <w:i/>
          <w:iCs/>
          <w:sz w:val="20"/>
        </w:rPr>
        <w:t>ra</w:t>
      </w:r>
      <w:r w:rsidRPr="00EF6A2C">
        <w:rPr>
          <w:rFonts w:ascii="Times New Roman" w:eastAsia="Calibri" w:hAnsi="Times New Roman"/>
          <w:i/>
          <w:iCs/>
          <w:sz w:val="20"/>
        </w:rPr>
        <w:t>ʿ</w:t>
      </w:r>
      <w:r w:rsidRPr="00EF6A2C">
        <w:rPr>
          <w:rFonts w:ascii="Times New Roman" w:hAnsi="Times New Roman"/>
          <w:i/>
          <w:iCs/>
          <w:sz w:val="20"/>
        </w:rPr>
        <w:t>a</w:t>
      </w:r>
      <w:r w:rsidRPr="00EF6A2C">
        <w:rPr>
          <w:rFonts w:ascii="Times New Roman" w:eastAsia="Calibri" w:hAnsi="Times New Roman"/>
          <w:i/>
          <w:iCs/>
          <w:sz w:val="20"/>
        </w:rPr>
        <w:t>ṯ</w:t>
      </w:r>
      <w:r w:rsidRPr="00EF6A2C">
        <w:rPr>
          <w:rFonts w:ascii="Times New Roman" w:hAnsi="Times New Roman"/>
          <w:sz w:val="20"/>
        </w:rPr>
        <w:t>), z którego nie wyleczył się już do śmierci.</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Ellen G. White tak komentuje to zdarzenie: „Uzjasz wpadł w nieopisany gniew, iż jego, króla, ktoś ośmielił się skrytykować. Jednak ci, którzy zostali powołani, by strzec świątyni, nie pozwolili władcy na jej profanację. Uzjasz, stojąc przed nimi pełen gniewu i buntu, został nagle porażony karą Bożą. Na jego czole pojawił się trąd. Król uciekł zawstydzony i nigdy więcej nie pokazał się na dziedzińcu świątyni. Aż do swej śmierci, która nastąpiła kilka lat później, Uzjasz pozostał trędowaty, będąc żywym dowodem tego, jaką głupotą jest występowanie przeciwko wyraźnemu </w:t>
      </w:r>
      <w:r w:rsidRPr="00EF6A2C">
        <w:rPr>
          <w:rFonts w:ascii="Times New Roman" w:hAnsi="Times New Roman"/>
          <w:i/>
          <w:iCs/>
          <w:sz w:val="20"/>
        </w:rPr>
        <w:t>tak mówi Pan</w:t>
      </w:r>
      <w:r w:rsidRPr="00EF6A2C">
        <w:rPr>
          <w:rFonts w:ascii="Times New Roman" w:hAnsi="Times New Roman"/>
          <w:sz w:val="20"/>
        </w:rPr>
        <w:t>. Ani jego wysokie stanowisko, ani długie życie pełne wiernej służby nie usprawiedliwiały zuchwałego grzechu, który położył się cieniem na ostatnich latach jego rządów i ściągnął na niego karę niebios” (</w:t>
      </w:r>
      <w:r w:rsidRPr="00EF6A2C">
        <w:rPr>
          <w:rFonts w:ascii="Times New Roman" w:hAnsi="Times New Roman"/>
          <w:sz w:val="20"/>
          <w:lang w:val="en-GB"/>
        </w:rPr>
        <w:t xml:space="preserve">Ellen G. White, </w:t>
      </w:r>
      <w:r w:rsidRPr="00EF6A2C">
        <w:rPr>
          <w:rFonts w:ascii="Times New Roman" w:hAnsi="Times New Roman"/>
          <w:i/>
          <w:iCs/>
          <w:sz w:val="20"/>
          <w:lang w:val="en-GB"/>
        </w:rPr>
        <w:t>Prorocy i królowie</w:t>
      </w:r>
      <w:r w:rsidRPr="00EF6A2C">
        <w:rPr>
          <w:rFonts w:ascii="Times New Roman" w:hAnsi="Times New Roman"/>
          <w:iCs/>
          <w:sz w:val="20"/>
          <w:lang w:val="en-GB"/>
        </w:rPr>
        <w:t>, wyd. 5, Warszawa 2018, s. </w:t>
      </w:r>
      <w:r w:rsidRPr="00EF6A2C">
        <w:rPr>
          <w:rFonts w:ascii="Times New Roman" w:hAnsi="Times New Roman"/>
          <w:sz w:val="20"/>
          <w:lang w:val="en-GB"/>
        </w:rPr>
        <w:t>172</w:t>
      </w:r>
      <w:r w:rsidRPr="00EF6A2C">
        <w:rPr>
          <w:rFonts w:ascii="Times New Roman" w:hAnsi="Times New Roman"/>
          <w:sz w:val="20"/>
        </w:rPr>
        <w:t>).</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Tak więc nawiązanie do śmierci Uzjasza miało na celu przywołanie króla cieszącego się sławą ustępującą być może jedynie sławie Dawida i Salomona. Jednak sława Uzjasza skończyła się trądem i śmiercią. Teraz inny król zasiadł na tronie, który niegdyś był tronem chwały Uzjasza.</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i/>
          <w:sz w:val="20"/>
        </w:rPr>
        <w:t>Nawyższy Król</w:t>
      </w:r>
      <w:r w:rsidRPr="00EF6A2C">
        <w:rPr>
          <w:rFonts w:ascii="Times New Roman" w:hAnsi="Times New Roman"/>
          <w:sz w:val="20"/>
        </w:rPr>
        <w:t>. W przeciwieństwie do doświadczenia sławnego (choć okrytego niesławą) króla Uzjasza, prorok mówi o niezrównanej chwale Pana: „W</w:t>
      </w:r>
      <w:r w:rsidRPr="00EF6A2C">
        <w:rPr>
          <w:rFonts w:ascii="Times New Roman" w:eastAsiaTheme="minorHAnsi" w:hAnsi="Times New Roman"/>
          <w:color w:val="000000"/>
          <w:sz w:val="20"/>
          <w:lang w:eastAsia="en-US"/>
        </w:rPr>
        <w:t>idziałem Pana siedzącego na tronie</w:t>
      </w:r>
      <w:r w:rsidRPr="00EF6A2C">
        <w:rPr>
          <w:rFonts w:ascii="Times New Roman" w:hAnsi="Times New Roman"/>
          <w:sz w:val="20"/>
        </w:rPr>
        <w:t>” (Iz 6,1). Należy zauważyć, że wszystkie słowa po słowie „Pan” wskazują wysoką pozycję JHWH, Króla wszechświata.</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Izajasz użył tu słowa „Pan” (</w:t>
      </w:r>
      <w:r w:rsidRPr="00EF6A2C">
        <w:rPr>
          <w:rFonts w:ascii="Times New Roman" w:eastAsia="Calibri" w:hAnsi="Times New Roman"/>
          <w:i/>
          <w:iCs/>
          <w:sz w:val="20"/>
        </w:rPr>
        <w:t>ʾăḏō</w:t>
      </w:r>
      <w:r w:rsidRPr="00EF6A2C">
        <w:rPr>
          <w:rFonts w:ascii="Times New Roman" w:hAnsi="Times New Roman"/>
          <w:i/>
          <w:iCs/>
          <w:sz w:val="20"/>
        </w:rPr>
        <w:t>n</w:t>
      </w:r>
      <w:r w:rsidRPr="00EF6A2C">
        <w:rPr>
          <w:rFonts w:ascii="Times New Roman" w:eastAsia="Calibri" w:hAnsi="Times New Roman"/>
          <w:i/>
          <w:iCs/>
          <w:sz w:val="20"/>
        </w:rPr>
        <w:t>ā</w:t>
      </w:r>
      <w:r w:rsidRPr="00EF6A2C">
        <w:rPr>
          <w:rFonts w:ascii="Times New Roman" w:hAnsi="Times New Roman"/>
          <w:i/>
          <w:iCs/>
          <w:sz w:val="20"/>
        </w:rPr>
        <w:t>y</w:t>
      </w:r>
      <w:r w:rsidRPr="00EF6A2C">
        <w:rPr>
          <w:rFonts w:ascii="Times New Roman" w:hAnsi="Times New Roman"/>
          <w:sz w:val="20"/>
        </w:rPr>
        <w:t xml:space="preserve">), wyraźnie wskazując, że ma na myśli Boga jako suwerennego Władcę. Pan (nadal) zasiada na tronie. Innymi słowy, pozostaje </w:t>
      </w:r>
      <w:r w:rsidRPr="00EF6A2C">
        <w:rPr>
          <w:rFonts w:ascii="Times New Roman" w:hAnsi="Times New Roman"/>
          <w:i/>
          <w:sz w:val="20"/>
        </w:rPr>
        <w:t>utwierdzony</w:t>
      </w:r>
      <w:r w:rsidRPr="00EF6A2C">
        <w:rPr>
          <w:rFonts w:ascii="Times New Roman" w:hAnsi="Times New Roman"/>
          <w:sz w:val="20"/>
        </w:rPr>
        <w:t xml:space="preserve"> na Jego tronie. Inni królowie przemijają, ale panowanie Króla wszechświata „</w:t>
      </w:r>
      <w:r w:rsidRPr="00EF6A2C">
        <w:rPr>
          <w:rFonts w:ascii="Times New Roman" w:eastAsiaTheme="minorHAnsi" w:hAnsi="Times New Roman"/>
          <w:color w:val="000000"/>
          <w:sz w:val="20"/>
          <w:lang w:eastAsia="en-US"/>
        </w:rPr>
        <w:t>jest wiecznym panowaniem, które nie przeminie, a Jego królestwo nie ulegnie zagładzie</w:t>
      </w:r>
      <w:r w:rsidRPr="00EF6A2C">
        <w:rPr>
          <w:rFonts w:ascii="Times New Roman" w:hAnsi="Times New Roman"/>
          <w:sz w:val="20"/>
        </w:rPr>
        <w:t xml:space="preserve">” </w:t>
      </w:r>
      <w:r w:rsidRPr="00EF6A2C">
        <w:rPr>
          <w:rFonts w:ascii="Times New Roman" w:hAnsi="Times New Roman"/>
          <w:iCs/>
          <w:sz w:val="20"/>
          <w:lang w:val="en-GB"/>
        </w:rPr>
        <w:t>(Dn 7,14 BT)</w:t>
      </w:r>
      <w:r w:rsidRPr="00EF6A2C">
        <w:rPr>
          <w:rFonts w:ascii="Times New Roman" w:hAnsi="Times New Roman"/>
          <w:sz w:val="20"/>
        </w:rPr>
        <w:t>. Izajasz zauważył, że kiedy Pan zasiadał na tronie, „</w:t>
      </w:r>
      <w:r w:rsidRPr="00EF6A2C">
        <w:rPr>
          <w:rFonts w:ascii="Times New Roman" w:eastAsiaTheme="minorHAnsi" w:hAnsi="Times New Roman"/>
          <w:color w:val="000000"/>
          <w:sz w:val="20"/>
          <w:lang w:eastAsia="en-US"/>
        </w:rPr>
        <w:t>kraj jego szaty wypełniał świątynię</w:t>
      </w:r>
      <w:r w:rsidRPr="00EF6A2C">
        <w:rPr>
          <w:rFonts w:ascii="Times New Roman" w:hAnsi="Times New Roman"/>
          <w:sz w:val="20"/>
        </w:rPr>
        <w:t>” (Iz 6,1), co oznacza, że obecność Pana wypełniała świątynię. Ponadto niebiańskie istoty oddają Mu cześć. Podobny obraz został ukazany w Ap 4,8: „</w:t>
      </w:r>
      <w:r w:rsidRPr="00EF6A2C">
        <w:rPr>
          <w:rFonts w:ascii="Times New Roman" w:eastAsiaTheme="minorHAnsi" w:hAnsi="Times New Roman"/>
          <w:color w:val="000000"/>
          <w:sz w:val="20"/>
          <w:lang w:eastAsia="en-US"/>
        </w:rPr>
        <w:t>A każda z tych czterech postaci miała po sześć skrzydeł, a wokoło i wewnątrz były pełne oczu; i nie odpoczywając ani w dzień, ani w nocy śpiewały: Święty, święty, święty jest Pan, Bóg Wszechmogący</w:t>
      </w:r>
      <w:r w:rsidRPr="00EF6A2C">
        <w:rPr>
          <w:rFonts w:ascii="Times New Roman" w:hAnsi="Times New Roman"/>
          <w:sz w:val="20"/>
        </w:rPr>
        <w:t>”.</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i/>
          <w:sz w:val="20"/>
        </w:rPr>
        <w:lastRenderedPageBreak/>
        <w:t>Nasz święty i pełen chwały Pan</w:t>
      </w:r>
      <w:r w:rsidRPr="00EF6A2C">
        <w:rPr>
          <w:rFonts w:ascii="Times New Roman" w:hAnsi="Times New Roman"/>
          <w:sz w:val="20"/>
        </w:rPr>
        <w:t>. Iz 6,3 podaje, że serafini „</w:t>
      </w:r>
      <w:r w:rsidRPr="00EF6A2C">
        <w:rPr>
          <w:rFonts w:ascii="Times New Roman" w:eastAsiaTheme="minorHAnsi" w:hAnsi="Times New Roman"/>
          <w:color w:val="000000"/>
          <w:sz w:val="20"/>
          <w:lang w:eastAsia="en-US"/>
        </w:rPr>
        <w:t>wołali oni jeden do drugiego: Święty, Święty, Święty - Pan Zastępów</w:t>
      </w:r>
      <w:r w:rsidRPr="00EF6A2C">
        <w:rPr>
          <w:rFonts w:ascii="Times New Roman" w:hAnsi="Times New Roman"/>
          <w:sz w:val="20"/>
        </w:rPr>
        <w:t>” (BKR). Wydaje się, że świętość jest określeniem, którym niebiańskie istoty chętnie posługują się w odniesieniu do Boga. Co oznacza świętość Boga?</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Według niektórych uczonych świętość JHWH oznacza ukryte sedno Jego istoty, Jego absolutną transcendencję, Boską doskonałość, która oddziela Go od Jego stworzenia za</w:t>
      </w:r>
      <w:r>
        <w:rPr>
          <w:rFonts w:ascii="Times New Roman" w:hAnsi="Times New Roman"/>
          <w:sz w:val="20"/>
        </w:rPr>
        <w:t xml:space="preserve">równo pod względem istoty jak i  </w:t>
      </w:r>
      <w:r w:rsidRPr="00EF6A2C">
        <w:rPr>
          <w:rFonts w:ascii="Times New Roman" w:hAnsi="Times New Roman"/>
          <w:sz w:val="20"/>
        </w:rPr>
        <w:t>charakteru, oraz Jego moralny majestat.</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Z drugiej strony, niektórzy sądzą, że w tym przypadku świętość oznacza wyłączność JHWH dla Izraela (</w:t>
      </w:r>
      <w:r w:rsidRPr="00EF6A2C">
        <w:rPr>
          <w:rFonts w:ascii="Times New Roman" w:hAnsi="Times New Roman"/>
          <w:sz w:val="20"/>
          <w:lang w:val="en-GB"/>
        </w:rPr>
        <w:t xml:space="preserve">Teófilo Correa, </w:t>
      </w:r>
      <w:r w:rsidRPr="00EF6A2C">
        <w:rPr>
          <w:rFonts w:ascii="Times New Roman" w:hAnsi="Times New Roman"/>
          <w:i/>
          <w:iCs/>
          <w:sz w:val="20"/>
          <w:lang w:val="en-GB"/>
        </w:rPr>
        <w:t>La Gloria del Seńor en Isaías</w:t>
      </w:r>
      <w:r w:rsidRPr="00EF6A2C">
        <w:rPr>
          <w:rFonts w:ascii="Times New Roman" w:hAnsi="Times New Roman"/>
          <w:sz w:val="20"/>
          <w:lang w:val="en-GB"/>
        </w:rPr>
        <w:t>, Entre Rios 2017, s. 123</w:t>
      </w:r>
      <w:r w:rsidRPr="00EF6A2C">
        <w:rPr>
          <w:rFonts w:ascii="Times New Roman" w:hAnsi="Times New Roman"/>
          <w:sz w:val="20"/>
        </w:rPr>
        <w:t xml:space="preserve">). Choć element odróżnienia czy </w:t>
      </w:r>
      <w:r w:rsidRPr="00EF6A2C">
        <w:rPr>
          <w:rFonts w:ascii="Times New Roman" w:hAnsi="Times New Roman"/>
          <w:i/>
          <w:sz w:val="20"/>
        </w:rPr>
        <w:t>odseparowania</w:t>
      </w:r>
      <w:r w:rsidRPr="00EF6A2C">
        <w:rPr>
          <w:rFonts w:ascii="Times New Roman" w:hAnsi="Times New Roman"/>
          <w:sz w:val="20"/>
        </w:rPr>
        <w:t xml:space="preserve"> w Bożej świętości jest niezaprzeczalny, można dyskutować, że słowo to w języku hebrajskim wyraża więcej niż wyróżnianie się.</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Calibri" w:hAnsi="Times New Roman"/>
          <w:iCs/>
          <w:sz w:val="20"/>
        </w:rPr>
      </w:pPr>
      <w:r w:rsidRPr="00EF6A2C">
        <w:rPr>
          <w:rFonts w:ascii="Times New Roman" w:hAnsi="Times New Roman"/>
          <w:sz w:val="20"/>
        </w:rPr>
        <w:t xml:space="preserve">W tej kwestii mamy świadectwo starożytnych języków. Ekwiwalentem hebrajskiego słowa </w:t>
      </w:r>
      <w:r w:rsidRPr="00EF6A2C">
        <w:rPr>
          <w:rFonts w:ascii="Times New Roman" w:hAnsi="Times New Roman"/>
          <w:i/>
          <w:iCs/>
          <w:sz w:val="20"/>
        </w:rPr>
        <w:t>qa</w:t>
      </w:r>
      <w:r w:rsidRPr="00EF6A2C">
        <w:rPr>
          <w:rFonts w:ascii="Times New Roman" w:eastAsia="Calibri" w:hAnsi="Times New Roman"/>
          <w:i/>
          <w:iCs/>
          <w:sz w:val="20"/>
        </w:rPr>
        <w:t>̄ḏô</w:t>
      </w:r>
      <w:r w:rsidRPr="00EF6A2C">
        <w:rPr>
          <w:rFonts w:ascii="Times New Roman" w:hAnsi="Times New Roman"/>
          <w:i/>
          <w:iCs/>
          <w:sz w:val="20"/>
        </w:rPr>
        <w:t>s</w:t>
      </w:r>
      <w:r w:rsidRPr="00EF6A2C">
        <w:rPr>
          <w:rFonts w:ascii="Times New Roman" w:eastAsia="Calibri" w:hAnsi="Times New Roman"/>
          <w:i/>
          <w:iCs/>
          <w:sz w:val="20"/>
        </w:rPr>
        <w:t>̌</w:t>
      </w:r>
      <w:r w:rsidRPr="00EF6A2C">
        <w:rPr>
          <w:rFonts w:ascii="Times New Roman" w:hAnsi="Times New Roman"/>
          <w:sz w:val="20"/>
        </w:rPr>
        <w:t xml:space="preserve"> (święty) jest akkadyjskie słowo </w:t>
      </w:r>
      <w:r w:rsidRPr="00EF6A2C">
        <w:rPr>
          <w:rFonts w:ascii="Times New Roman" w:hAnsi="Times New Roman"/>
          <w:i/>
          <w:iCs/>
          <w:sz w:val="20"/>
        </w:rPr>
        <w:t>qad</w:t>
      </w:r>
      <w:r w:rsidRPr="00EF6A2C">
        <w:rPr>
          <w:rFonts w:ascii="Times New Roman" w:eastAsia="Calibri" w:hAnsi="Times New Roman"/>
          <w:i/>
          <w:iCs/>
          <w:sz w:val="20"/>
        </w:rPr>
        <w:t>ā</w:t>
      </w:r>
      <w:r w:rsidRPr="00EF6A2C">
        <w:rPr>
          <w:rFonts w:ascii="Times New Roman" w:hAnsi="Times New Roman"/>
          <w:i/>
          <w:iCs/>
          <w:sz w:val="20"/>
        </w:rPr>
        <w:t>šu</w:t>
      </w:r>
      <w:r w:rsidRPr="00EF6A2C">
        <w:rPr>
          <w:rFonts w:ascii="Times New Roman" w:hAnsi="Times New Roman"/>
          <w:sz w:val="20"/>
        </w:rPr>
        <w:t>, które oznacza między innymi „być czystym”, „jaśnieć” (</w:t>
      </w:r>
      <w:r w:rsidRPr="00EF6A2C">
        <w:rPr>
          <w:rFonts w:ascii="Times New Roman" w:hAnsi="Times New Roman"/>
          <w:sz w:val="20"/>
          <w:lang w:val="en-GB"/>
        </w:rPr>
        <w:t>Jeremy Black, Andrew George i Nicholas Postgate, red., „</w:t>
      </w:r>
      <w:r w:rsidRPr="00EF6A2C">
        <w:rPr>
          <w:rFonts w:ascii="Times New Roman" w:hAnsi="Times New Roman"/>
          <w:i/>
          <w:iCs/>
          <w:sz w:val="20"/>
        </w:rPr>
        <w:t>qadāšu(m)</w:t>
      </w:r>
      <w:r w:rsidRPr="00EF6A2C">
        <w:rPr>
          <w:rFonts w:ascii="Times New Roman" w:hAnsi="Times New Roman"/>
          <w:sz w:val="20"/>
          <w:lang w:val="en-GB"/>
        </w:rPr>
        <w:t xml:space="preserve">” </w:t>
      </w:r>
      <w:r w:rsidRPr="00EF6A2C">
        <w:rPr>
          <w:rFonts w:ascii="Times New Roman" w:hAnsi="Times New Roman"/>
          <w:i/>
          <w:iCs/>
          <w:sz w:val="20"/>
          <w:lang w:val="en-GB"/>
        </w:rPr>
        <w:t>A Concise Dictionary of Akkadian</w:t>
      </w:r>
      <w:r w:rsidRPr="00EF6A2C">
        <w:rPr>
          <w:rFonts w:ascii="Times New Roman" w:hAnsi="Times New Roman"/>
          <w:sz w:val="20"/>
          <w:lang w:val="en-GB"/>
        </w:rPr>
        <w:t>, Wiesbaden 2000, s. 282</w:t>
      </w:r>
      <w:r w:rsidRPr="00EF6A2C">
        <w:rPr>
          <w:rFonts w:ascii="Times New Roman" w:hAnsi="Times New Roman"/>
          <w:sz w:val="20"/>
        </w:rPr>
        <w:t xml:space="preserve">). Wobec tego świadectwa ze źródeł pozabiblijnych można wnioskować o elemencie niezrównalności z uwagi na sedno natury Boga. Dlatego hebrajskie słowo </w:t>
      </w:r>
      <w:r w:rsidRPr="00EF6A2C">
        <w:rPr>
          <w:rFonts w:ascii="Times New Roman" w:hAnsi="Times New Roman"/>
          <w:i/>
          <w:iCs/>
          <w:sz w:val="20"/>
        </w:rPr>
        <w:t>qa</w:t>
      </w:r>
      <w:r w:rsidRPr="00EF6A2C">
        <w:rPr>
          <w:rFonts w:ascii="Times New Roman" w:eastAsia="Calibri" w:hAnsi="Times New Roman"/>
          <w:i/>
          <w:iCs/>
          <w:sz w:val="20"/>
        </w:rPr>
        <w:t>̄ḏô</w:t>
      </w:r>
      <w:r w:rsidRPr="00EF6A2C">
        <w:rPr>
          <w:rFonts w:ascii="Times New Roman" w:hAnsi="Times New Roman"/>
          <w:i/>
          <w:iCs/>
          <w:sz w:val="20"/>
        </w:rPr>
        <w:t>s</w:t>
      </w:r>
      <w:r w:rsidRPr="00EF6A2C">
        <w:rPr>
          <w:rFonts w:ascii="Times New Roman" w:eastAsia="Calibri" w:hAnsi="Times New Roman"/>
          <w:i/>
          <w:iCs/>
          <w:sz w:val="20"/>
        </w:rPr>
        <w:t>̌</w:t>
      </w:r>
      <w:r w:rsidRPr="00EF6A2C">
        <w:rPr>
          <w:rFonts w:ascii="Times New Roman" w:hAnsi="Times New Roman"/>
          <w:sz w:val="20"/>
        </w:rPr>
        <w:t xml:space="preserve"> w tym przypadku może się odnosić do czystości, doskonałości i ukrytej chwały JHWH. Innymi słowy, świętość jest sednem istoty Boga, ale sedno nie jest całkowicie ukryte, gdyż zostało częściowo objawione w Jego chwale, która wypełnia całą ziemię. </w:t>
      </w:r>
      <w:r w:rsidRPr="00EF6A2C">
        <w:rPr>
          <w:rFonts w:ascii="Times New Roman" w:hAnsi="Times New Roman"/>
          <w:i/>
          <w:iCs/>
          <w:sz w:val="20"/>
        </w:rPr>
        <w:t>Qa</w:t>
      </w:r>
      <w:r w:rsidRPr="00EF6A2C">
        <w:rPr>
          <w:rFonts w:ascii="Times New Roman" w:eastAsia="Calibri" w:hAnsi="Times New Roman"/>
          <w:i/>
          <w:iCs/>
          <w:sz w:val="20"/>
        </w:rPr>
        <w:t xml:space="preserve">̄ḏôš </w:t>
      </w:r>
      <w:r w:rsidRPr="00EF6A2C">
        <w:rPr>
          <w:rFonts w:ascii="Times New Roman" w:hAnsi="Times New Roman"/>
          <w:sz w:val="20"/>
        </w:rPr>
        <w:t xml:space="preserve">jest paralelne do </w:t>
      </w:r>
      <w:r w:rsidRPr="00EF6A2C">
        <w:rPr>
          <w:rFonts w:ascii="Times New Roman" w:eastAsia="Calibri" w:hAnsi="Times New Roman"/>
          <w:i/>
          <w:iCs/>
          <w:sz w:val="20"/>
        </w:rPr>
        <w:t>ḵāḇôḏ</w:t>
      </w:r>
      <w:r w:rsidRPr="00EF6A2C">
        <w:rPr>
          <w:rFonts w:ascii="Times New Roman" w:eastAsia="Calibri" w:hAnsi="Times New Roman"/>
          <w:iCs/>
          <w:sz w:val="20"/>
        </w:rPr>
        <w:t>. Podczas gdy pierwsze jest sednem istoty Boga, drugie jest tego manifestacją. Możemy też wnioskować, że jak Jego obecność wypełnia świątynię, tak Jego chwała wypełnia ziemię. Taki jest wpływ świętości Boga, iż Izajasz postrzegał siebie jako nicość, gdyż według niego był nieczysty. Przeciwieństwo między między nim (nieczystym), a czystym (świętym) Bogiem</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Calibri" w:hAnsi="Times New Roman"/>
          <w:iCs/>
          <w:sz w:val="20"/>
        </w:rPr>
      </w:pP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0"/>
          <w:lang w:val="en-GB"/>
        </w:rPr>
      </w:pPr>
      <w:r w:rsidRPr="00EF6A2C">
        <w:rPr>
          <w:rFonts w:ascii="Times New Roman" w:hAnsi="Times New Roman"/>
          <w:b/>
          <w:bCs/>
          <w:sz w:val="20"/>
          <w:lang w:val="en-GB"/>
        </w:rPr>
        <w:t>Część III: Zastosowanie</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0"/>
          <w:lang w:val="en-GB"/>
        </w:rPr>
      </w:pP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b/>
          <w:sz w:val="20"/>
        </w:rPr>
        <w:t>Do zastanowienia:</w:t>
      </w:r>
      <w:r w:rsidRPr="00EF6A2C">
        <w:rPr>
          <w:rFonts w:ascii="Times New Roman" w:hAnsi="Times New Roman"/>
          <w:sz w:val="20"/>
        </w:rPr>
        <w:t xml:space="preserve"> Sława i zaszczyty są wielką atrakcją dla wielu ludzi. Król Uzjasz jest doskonałym przykładem kogoś, kto chciwie ich pożądał. Jego wtargnięcie do świątyni można postrzegać jako bezczelny popis, ale - niestety - sprzeczny z objawioną wolą Boga. Jego zachowanie było zniewagą i bluźnierstwem wobec Boga i</w:t>
      </w:r>
      <w:r>
        <w:rPr>
          <w:rFonts w:ascii="Times New Roman" w:hAnsi="Times New Roman"/>
          <w:sz w:val="20"/>
        </w:rPr>
        <w:t> </w:t>
      </w:r>
      <w:r w:rsidRPr="00EF6A2C">
        <w:rPr>
          <w:rFonts w:ascii="Times New Roman" w:hAnsi="Times New Roman"/>
          <w:sz w:val="20"/>
        </w:rPr>
        <w:t xml:space="preserve"> Jego świętej służby. Ellen G. White stwierdziła, że „Grzechem, który tak nieszczęśliwie zaciążył na losach Uzjasza, była zarozumiałość. Wbrew wyraźnemu przykazaniu Jahwe, iż nikt prócz potomków Aarona nie może pełnić służby kapłańskiej, król osobiście wszedł do świątyni, «aby złożyć ofiarę z kadzidła na ołtarzu kadzenia» (</w:t>
      </w:r>
      <w:r w:rsidRPr="00EF6A2C">
        <w:rPr>
          <w:rFonts w:ascii="Times New Roman" w:hAnsi="Times New Roman"/>
          <w:sz w:val="20"/>
        </w:rPr>
        <w:fldChar w:fldCharType="begin"/>
      </w:r>
      <w:r w:rsidRPr="00EF6A2C">
        <w:rPr>
          <w:rFonts w:ascii="Times New Roman" w:hAnsi="Times New Roman"/>
          <w:sz w:val="20"/>
        </w:rPr>
        <w:instrText>xe "2 Krn 26,16"</w:instrText>
      </w:r>
      <w:r w:rsidRPr="00EF6A2C">
        <w:rPr>
          <w:rFonts w:ascii="Times New Roman" w:hAnsi="Times New Roman"/>
          <w:sz w:val="20"/>
        </w:rPr>
        <w:fldChar w:fldCharType="end"/>
      </w:r>
      <w:r w:rsidRPr="00EF6A2C">
        <w:rPr>
          <w:rFonts w:ascii="Times New Roman" w:hAnsi="Times New Roman"/>
          <w:sz w:val="20"/>
        </w:rPr>
        <w:t>2 Krn 26,16)” (</w:t>
      </w:r>
      <w:r w:rsidRPr="00EF6A2C">
        <w:rPr>
          <w:rFonts w:ascii="Times New Roman" w:hAnsi="Times New Roman"/>
          <w:sz w:val="20"/>
          <w:lang w:val="en-GB"/>
        </w:rPr>
        <w:t>Ellen G. White,</w:t>
      </w:r>
      <w:r w:rsidRPr="00EF6A2C">
        <w:rPr>
          <w:rFonts w:ascii="Times New Roman" w:hAnsi="Times New Roman"/>
          <w:i/>
          <w:iCs/>
          <w:sz w:val="20"/>
          <w:lang w:val="en-GB"/>
        </w:rPr>
        <w:t xml:space="preserve"> Prorocy i królowie</w:t>
      </w:r>
      <w:r w:rsidRPr="00EF6A2C">
        <w:rPr>
          <w:rFonts w:ascii="Times New Roman" w:hAnsi="Times New Roman"/>
          <w:iCs/>
          <w:sz w:val="20"/>
          <w:lang w:val="en-GB"/>
        </w:rPr>
        <w:t xml:space="preserve">, wyd. 5, Warszawa 2018, </w:t>
      </w:r>
      <w:r w:rsidRPr="00EF6A2C">
        <w:rPr>
          <w:rFonts w:ascii="Times New Roman" w:hAnsi="Times New Roman"/>
          <w:sz w:val="20"/>
          <w:lang w:val="en-GB"/>
        </w:rPr>
        <w:t>s. 171-172</w:t>
      </w:r>
      <w:r w:rsidRPr="00EF6A2C">
        <w:rPr>
          <w:rFonts w:ascii="Times New Roman" w:hAnsi="Times New Roman"/>
          <w:sz w:val="20"/>
        </w:rPr>
        <w:t>).</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1. Jeśli zajmujesz kierownicze stanowisko w twoim zborze, zastanów się, co obejmuje twoje przywództwo. Jak wiernie postępujesz w świętych sprawach Pańskich?</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2. Królowie w czasach Izajasza nie zawsze chodzili w światłości Pańskiej. Iz 1,23 opisuje ich następująco: „</w:t>
      </w:r>
      <w:r w:rsidRPr="00EF6A2C">
        <w:rPr>
          <w:rFonts w:ascii="Times New Roman" w:eastAsiaTheme="minorHAnsi" w:hAnsi="Times New Roman"/>
          <w:color w:val="000000"/>
          <w:sz w:val="20"/>
          <w:lang w:eastAsia="en-US"/>
        </w:rPr>
        <w:t>Twoi przewodnicy są buntownikami</w:t>
      </w:r>
      <w:r w:rsidRPr="00EF6A2C">
        <w:rPr>
          <w:rFonts w:ascii="Times New Roman" w:hAnsi="Times New Roman"/>
          <w:sz w:val="20"/>
        </w:rPr>
        <w:t>”. Pamiętaj, że ludzie prędzej czy później zestarzeją się i umrą. Pan, który panuje wiecznie, zasiada na swoim tronie i to On decyduje. Co to znaczy, że Bóg jest suwerennym Władcą? Dlaczego powinniśmy ufać Jego panowaniu?</w:t>
      </w:r>
    </w:p>
    <w:p w:rsidR="009039D9" w:rsidRPr="00EF6A2C" w:rsidRDefault="009039D9"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3. Na początku swojej prorockiej służby Izajasz otrzymał wizję świętości Pana. Podobne doświadczenie stało się udziałem Mojżesza, kiedy został wezwany na górę Horeb (Wj 3,5-6). Dlaczego świętość jest nie tylko ważną cecha istoty Pana, ale także pieczęcią Jego dzieła i znakiem Jego posłańców?</w:t>
      </w:r>
    </w:p>
    <w:p w:rsidR="00F47047" w:rsidRPr="00B879F1" w:rsidRDefault="00F47047" w:rsidP="009039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sectPr w:rsidR="00F47047" w:rsidRPr="00B879F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282" w:rsidRDefault="00921282" w:rsidP="00A820C9">
      <w:r>
        <w:separator/>
      </w:r>
    </w:p>
  </w:endnote>
  <w:endnote w:type="continuationSeparator" w:id="0">
    <w:p w:rsidR="00921282" w:rsidRDefault="0092128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1C" w:rsidRDefault="00BC741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921282">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1C" w:rsidRDefault="00BC741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282" w:rsidRDefault="00921282" w:rsidP="00A820C9">
      <w:r>
        <w:separator/>
      </w:r>
    </w:p>
  </w:footnote>
  <w:footnote w:type="continuationSeparator" w:id="0">
    <w:p w:rsidR="00921282" w:rsidRDefault="00921282"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1C" w:rsidRDefault="00BC741C">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B7" w:rsidRPr="00E86CB7" w:rsidRDefault="00A97ECA" w:rsidP="00E86CB7">
    <w:pPr>
      <w:tabs>
        <w:tab w:val="left" w:pos="567"/>
      </w:tabs>
      <w:ind w:left="567" w:firstLine="0"/>
      <w:rPr>
        <w:rFonts w:ascii="Times New Roman" w:hAnsi="Times New Roman"/>
        <w:i/>
        <w:iCs/>
        <w:sz w:val="16"/>
        <w:szCs w:val="16"/>
      </w:rPr>
    </w:pPr>
    <w:bookmarkStart w:id="0" w:name="_GoBack"/>
    <w:r w:rsidRPr="00E86CB7">
      <w:rPr>
        <w:rFonts w:ascii="Times New Roman" w:hAnsi="Times New Roman"/>
        <w:sz w:val="16"/>
        <w:szCs w:val="16"/>
      </w:rPr>
      <w:t>Lekcje Biblijne</w:t>
    </w:r>
    <w:r w:rsidR="00E86CB7" w:rsidRPr="00E86CB7">
      <w:rPr>
        <w:rFonts w:ascii="Times New Roman" w:hAnsi="Times New Roman"/>
        <w:sz w:val="16"/>
        <w:szCs w:val="16"/>
      </w:rPr>
      <w:t>1</w:t>
    </w:r>
    <w:r w:rsidRPr="00E86CB7">
      <w:rPr>
        <w:rFonts w:ascii="Times New Roman" w:hAnsi="Times New Roman"/>
        <w:sz w:val="16"/>
        <w:szCs w:val="16"/>
      </w:rPr>
      <w:t>/202</w:t>
    </w:r>
    <w:r w:rsidR="00E86CB7" w:rsidRPr="00E86CB7">
      <w:rPr>
        <w:rFonts w:ascii="Times New Roman" w:hAnsi="Times New Roman"/>
        <w:sz w:val="16"/>
        <w:szCs w:val="16"/>
      </w:rPr>
      <w:t>1</w:t>
    </w:r>
    <w:r w:rsidRPr="00E86CB7">
      <w:rPr>
        <w:rFonts w:ascii="Times New Roman" w:hAnsi="Times New Roman"/>
        <w:sz w:val="16"/>
        <w:szCs w:val="16"/>
      </w:rPr>
      <w:t xml:space="preserve">, </w:t>
    </w:r>
    <w:r w:rsidR="00E86CB7" w:rsidRPr="00E86CB7">
      <w:rPr>
        <w:rFonts w:ascii="Times New Roman" w:hAnsi="Times New Roman"/>
        <w:bCs/>
        <w:sz w:val="16"/>
        <w:szCs w:val="16"/>
        <w:lang w:val="en-GB"/>
      </w:rPr>
      <w:t xml:space="preserve">Roy E. Gane, </w:t>
    </w:r>
    <w:r w:rsidR="00E86CB7" w:rsidRPr="00E86CB7">
      <w:rPr>
        <w:rFonts w:ascii="Times New Roman" w:hAnsi="Times New Roman"/>
        <w:i/>
        <w:iCs/>
        <w:sz w:val="16"/>
        <w:szCs w:val="16"/>
      </w:rPr>
      <w:t>Księga Izajasza, „Pocieszajcie mój lud”</w:t>
    </w:r>
  </w:p>
  <w:bookmarkEnd w:id="0"/>
  <w:p w:rsidR="00E86CB7" w:rsidRPr="00E86CB7" w:rsidRDefault="00E86CB7" w:rsidP="00E86CB7">
    <w:pPr>
      <w:tabs>
        <w:tab w:val="left" w:pos="567"/>
      </w:tabs>
      <w:rPr>
        <w:rFonts w:ascii="Times New Roman" w:hAnsi="Times New Roman"/>
        <w:sz w:val="16"/>
      </w:rPr>
    </w:pPr>
    <w:r w:rsidRPr="00E86CB7">
      <w:rPr>
        <w:rFonts w:ascii="Times New Roman" w:hAnsi="Times New Roman"/>
        <w:sz w:val="16"/>
      </w:rPr>
      <w:t>Przewodnik dla nauczycieli</w:t>
    </w:r>
    <w:r>
      <w:rPr>
        <w:rFonts w:ascii="Times New Roman" w:hAnsi="Times New Roman"/>
        <w:sz w:val="16"/>
      </w:rPr>
      <w:t xml:space="preserve">, lekcja </w:t>
    </w:r>
    <w:r w:rsidR="009039D9">
      <w:rPr>
        <w:rFonts w:ascii="Times New Roman" w:hAnsi="Times New Roman"/>
        <w:sz w:val="16"/>
      </w:rPr>
      <w:t>2</w:t>
    </w:r>
    <w:r>
      <w:rPr>
        <w:rFonts w:ascii="Times New Roman" w:hAnsi="Times New Roman"/>
        <w:sz w:val="16"/>
      </w:rPr>
      <w:t xml:space="preserve">, </w:t>
    </w:r>
    <w:r w:rsidRPr="00BC741C">
      <w:rPr>
        <w:rFonts w:ascii="Times New Roman" w:hAnsi="Times New Roman"/>
        <w:i/>
        <w:sz w:val="16"/>
      </w:rPr>
      <w:t xml:space="preserve">Kryzys </w:t>
    </w:r>
    <w:r w:rsidR="009039D9" w:rsidRPr="00BC741C">
      <w:rPr>
        <w:rFonts w:ascii="Times New Roman" w:hAnsi="Times New Roman"/>
        <w:i/>
        <w:sz w:val="16"/>
      </w:rPr>
      <w:t>przywództwa</w:t>
    </w:r>
  </w:p>
  <w:p w:rsidR="00A97ECA" w:rsidRPr="00AA0514" w:rsidRDefault="00A97ECA" w:rsidP="00E86CB7">
    <w:pPr>
      <w:tabs>
        <w:tab w:val="left" w:pos="5751"/>
      </w:tabs>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1C" w:rsidRDefault="00BC741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57F7D"/>
    <w:rsid w:val="000601FC"/>
    <w:rsid w:val="000626C5"/>
    <w:rsid w:val="00063209"/>
    <w:rsid w:val="00071DD3"/>
    <w:rsid w:val="00073013"/>
    <w:rsid w:val="0008053E"/>
    <w:rsid w:val="00084D07"/>
    <w:rsid w:val="00095BF6"/>
    <w:rsid w:val="000A7CAE"/>
    <w:rsid w:val="000B4665"/>
    <w:rsid w:val="000C39FA"/>
    <w:rsid w:val="000C43D8"/>
    <w:rsid w:val="000D0B43"/>
    <w:rsid w:val="000E3D8C"/>
    <w:rsid w:val="00130250"/>
    <w:rsid w:val="00131D4E"/>
    <w:rsid w:val="001344DC"/>
    <w:rsid w:val="00160A2E"/>
    <w:rsid w:val="001634CA"/>
    <w:rsid w:val="00172E60"/>
    <w:rsid w:val="001900C2"/>
    <w:rsid w:val="001A14AD"/>
    <w:rsid w:val="001B6CB1"/>
    <w:rsid w:val="001F3AB8"/>
    <w:rsid w:val="00211923"/>
    <w:rsid w:val="00247ECF"/>
    <w:rsid w:val="00256C0B"/>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04868"/>
    <w:rsid w:val="00411F03"/>
    <w:rsid w:val="00422C48"/>
    <w:rsid w:val="0043366A"/>
    <w:rsid w:val="0044128C"/>
    <w:rsid w:val="00457757"/>
    <w:rsid w:val="004622A1"/>
    <w:rsid w:val="004765D6"/>
    <w:rsid w:val="004A07EB"/>
    <w:rsid w:val="004A1F71"/>
    <w:rsid w:val="004A68C6"/>
    <w:rsid w:val="004D072B"/>
    <w:rsid w:val="004E2DE9"/>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725650"/>
    <w:rsid w:val="00727749"/>
    <w:rsid w:val="0074017C"/>
    <w:rsid w:val="007608BA"/>
    <w:rsid w:val="0076232D"/>
    <w:rsid w:val="00767D8E"/>
    <w:rsid w:val="007812DA"/>
    <w:rsid w:val="00785516"/>
    <w:rsid w:val="007C0F83"/>
    <w:rsid w:val="007E39EB"/>
    <w:rsid w:val="007F2BD7"/>
    <w:rsid w:val="008202AD"/>
    <w:rsid w:val="00845363"/>
    <w:rsid w:val="008572DB"/>
    <w:rsid w:val="00870FEF"/>
    <w:rsid w:val="0087312A"/>
    <w:rsid w:val="008A4CC9"/>
    <w:rsid w:val="008A5882"/>
    <w:rsid w:val="008C1F5B"/>
    <w:rsid w:val="008C694D"/>
    <w:rsid w:val="008E0114"/>
    <w:rsid w:val="008E1633"/>
    <w:rsid w:val="009039D9"/>
    <w:rsid w:val="00903AB3"/>
    <w:rsid w:val="00904615"/>
    <w:rsid w:val="00921282"/>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74F83"/>
    <w:rsid w:val="00A81F1D"/>
    <w:rsid w:val="00A820C9"/>
    <w:rsid w:val="00A85D90"/>
    <w:rsid w:val="00A974E6"/>
    <w:rsid w:val="00A97ECA"/>
    <w:rsid w:val="00AA0514"/>
    <w:rsid w:val="00AA336A"/>
    <w:rsid w:val="00AC3205"/>
    <w:rsid w:val="00AD4D5B"/>
    <w:rsid w:val="00AD7194"/>
    <w:rsid w:val="00B12BA8"/>
    <w:rsid w:val="00B27439"/>
    <w:rsid w:val="00B32C6C"/>
    <w:rsid w:val="00B42BF8"/>
    <w:rsid w:val="00B5045B"/>
    <w:rsid w:val="00B53BCA"/>
    <w:rsid w:val="00B608AC"/>
    <w:rsid w:val="00B70608"/>
    <w:rsid w:val="00BA5879"/>
    <w:rsid w:val="00BC741C"/>
    <w:rsid w:val="00BD0104"/>
    <w:rsid w:val="00BE5836"/>
    <w:rsid w:val="00C045AF"/>
    <w:rsid w:val="00C14432"/>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F2F3B"/>
    <w:rsid w:val="00D0120F"/>
    <w:rsid w:val="00D17CAF"/>
    <w:rsid w:val="00D43CA9"/>
    <w:rsid w:val="00D460C5"/>
    <w:rsid w:val="00D5040D"/>
    <w:rsid w:val="00D5746C"/>
    <w:rsid w:val="00D67231"/>
    <w:rsid w:val="00D7222D"/>
    <w:rsid w:val="00DD7EA6"/>
    <w:rsid w:val="00DE0B9C"/>
    <w:rsid w:val="00DE5AB9"/>
    <w:rsid w:val="00DF1EA2"/>
    <w:rsid w:val="00E024F6"/>
    <w:rsid w:val="00E03075"/>
    <w:rsid w:val="00E274A1"/>
    <w:rsid w:val="00E32868"/>
    <w:rsid w:val="00E74F52"/>
    <w:rsid w:val="00E86CB7"/>
    <w:rsid w:val="00E9226C"/>
    <w:rsid w:val="00E95C9D"/>
    <w:rsid w:val="00EB34DD"/>
    <w:rsid w:val="00F42B0D"/>
    <w:rsid w:val="00F47047"/>
    <w:rsid w:val="00F5322D"/>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1177</Words>
  <Characters>7067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2020-12-23T17:36:00Z</cp:lastPrinted>
  <dcterms:created xsi:type="dcterms:W3CDTF">2020-12-23T14:51:00Z</dcterms:created>
  <dcterms:modified xsi:type="dcterms:W3CDTF">2020-12-23T17:36:00Z</dcterms:modified>
</cp:coreProperties>
</file>