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28E21F8D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01246D">
        <w:rPr>
          <w:rFonts w:ascii="Times New Roman" w:hAnsi="Times New Roman"/>
          <w:sz w:val="20"/>
        </w:rPr>
        <w:t>1</w:t>
      </w:r>
      <w:r w:rsidR="00810AEF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01246D">
        <w:rPr>
          <w:rFonts w:ascii="Times New Roman" w:hAnsi="Times New Roman"/>
          <w:sz w:val="20"/>
        </w:rPr>
        <w:t>1</w:t>
      </w:r>
      <w:r w:rsidR="00810AEF">
        <w:rPr>
          <w:rFonts w:ascii="Times New Roman" w:hAnsi="Times New Roman"/>
          <w:sz w:val="20"/>
        </w:rPr>
        <w:t>7</w:t>
      </w:r>
      <w:r w:rsidR="0001246D">
        <w:rPr>
          <w:rFonts w:ascii="Times New Roman" w:hAnsi="Times New Roman"/>
          <w:sz w:val="20"/>
        </w:rPr>
        <w:t xml:space="preserve"> czerwca</w:t>
      </w:r>
    </w:p>
    <w:p w14:paraId="308DB886" w14:textId="46B28A72" w:rsidR="00283CFF" w:rsidRDefault="001B38DA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PIECZĘĆ BOGA I ZNAMIĘ BESTII, cz. I</w:t>
      </w:r>
      <w:r w:rsidR="00810AEF">
        <w:rPr>
          <w:rFonts w:ascii="Times New Roman" w:hAnsi="Times New Roman"/>
          <w:b/>
          <w:sz w:val="24"/>
          <w:szCs w:val="24"/>
        </w:rPr>
        <w:t>I</w:t>
      </w:r>
    </w:p>
    <w:p w14:paraId="0B1DFD34" w14:textId="627B286F" w:rsidR="00810AEF" w:rsidRDefault="00810AEF" w:rsidP="00810AEF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I: Przegląd</w:t>
      </w:r>
    </w:p>
    <w:p w14:paraId="29CB1BB1" w14:textId="77777777" w:rsidR="00810AEF" w:rsidRPr="00B31493" w:rsidRDefault="00810AEF" w:rsidP="00810AEF">
      <w:pPr>
        <w:rPr>
          <w:rFonts w:ascii="Times New Roman" w:hAnsi="Times New Roman"/>
          <w:sz w:val="20"/>
        </w:rPr>
      </w:pPr>
    </w:p>
    <w:p w14:paraId="18877BAD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Biblia jest spójną całością. Temat wielkiego boju przewija się jak szkarłatna nić przez jej karty, wplatając się w narracje i święte prawdy przedstawione na nich. Misja Chrystusa, Jego pojednawcza ofiara, Jego arcykapłańska służba i Jego powtórne przyjście to tematy rozbrzmiewające echem na kartach </w:t>
      </w:r>
      <w:r w:rsidRPr="00B31493">
        <w:rPr>
          <w:rFonts w:ascii="Times New Roman" w:hAnsi="Times New Roman"/>
          <w:i/>
          <w:iCs/>
          <w:sz w:val="20"/>
        </w:rPr>
        <w:t>Pisma Świętego</w:t>
      </w:r>
      <w:r w:rsidRPr="00B31493">
        <w:rPr>
          <w:rFonts w:ascii="Times New Roman" w:hAnsi="Times New Roman"/>
          <w:sz w:val="20"/>
        </w:rPr>
        <w:t xml:space="preserve">. Kulminacja wielkiego boju jest ukazana w </w:t>
      </w:r>
      <w:r w:rsidRPr="00B31493">
        <w:rPr>
          <w:rFonts w:ascii="Times New Roman" w:hAnsi="Times New Roman"/>
          <w:i/>
          <w:iCs/>
          <w:sz w:val="20"/>
        </w:rPr>
        <w:t>Apokalipsie Jana</w:t>
      </w:r>
      <w:r w:rsidRPr="00B31493">
        <w:rPr>
          <w:rFonts w:ascii="Times New Roman" w:hAnsi="Times New Roman"/>
          <w:sz w:val="20"/>
        </w:rPr>
        <w:t>. Lekcja tego tygodnia to druga część studium poświęconego pieczęci Boga i znamieniu bestii. Będziemy w niej kontynuować identyfikację bestii z morza, przyjrzymy się scenariuszowi ostatnich wydarzeń na Ziemi i zwrócimy uwagę na praktyczne zasady, które pomogą nam przygotować się na powtórne przyjście Jezusa.</w:t>
      </w:r>
    </w:p>
    <w:p w14:paraId="20A04FC6" w14:textId="218B7681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Jedną z ważnych zasad dotyczących symbolicznych proroctw biblijnych odnoszących się do czasu jest zasada „dzień za rok”. Krótko mówiąc, w proroctwach dotyczących czasu zawartych w </w:t>
      </w:r>
      <w:r w:rsidRPr="00B31493">
        <w:rPr>
          <w:rFonts w:ascii="Times New Roman" w:hAnsi="Times New Roman"/>
          <w:i/>
          <w:iCs/>
          <w:sz w:val="20"/>
        </w:rPr>
        <w:t>Księdze Daniela</w:t>
      </w:r>
      <w:r w:rsidRPr="00B31493">
        <w:rPr>
          <w:rFonts w:ascii="Times New Roman" w:hAnsi="Times New Roman"/>
          <w:sz w:val="20"/>
        </w:rPr>
        <w:t xml:space="preserve"> i</w:t>
      </w:r>
      <w:r w:rsidR="00226F85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i/>
          <w:iCs/>
          <w:sz w:val="20"/>
        </w:rPr>
        <w:t>Apokalipsie Jana</w:t>
      </w:r>
      <w:r w:rsidRPr="00B31493">
        <w:rPr>
          <w:rFonts w:ascii="Times New Roman" w:hAnsi="Times New Roman"/>
          <w:sz w:val="20"/>
        </w:rPr>
        <w:t xml:space="preserve"> jeden proroczy „dzień” oznacza jeden rzeczywisty, historyczny rok. Przeanalizujemy biblijne i historyczne podwaliny tej zasady. Inna ważna zasada interpretacji proroctw to ścisłe powiązanie proroctw </w:t>
      </w:r>
      <w:r w:rsidRPr="00B31493">
        <w:rPr>
          <w:rFonts w:ascii="Times New Roman" w:hAnsi="Times New Roman"/>
          <w:i/>
          <w:iCs/>
          <w:sz w:val="20"/>
        </w:rPr>
        <w:t>Księgi Daniela</w:t>
      </w:r>
      <w:r w:rsidRPr="00B31493">
        <w:rPr>
          <w:rFonts w:ascii="Times New Roman" w:hAnsi="Times New Roman"/>
          <w:sz w:val="20"/>
        </w:rPr>
        <w:t xml:space="preserve"> z proroctwami </w:t>
      </w:r>
      <w:r w:rsidRPr="00B31493">
        <w:rPr>
          <w:rFonts w:ascii="Times New Roman" w:hAnsi="Times New Roman"/>
          <w:i/>
          <w:iCs/>
          <w:sz w:val="20"/>
        </w:rPr>
        <w:t>Apokalipsy Jana</w:t>
      </w:r>
      <w:r w:rsidRPr="00B31493">
        <w:rPr>
          <w:rFonts w:ascii="Times New Roman" w:hAnsi="Times New Roman"/>
          <w:sz w:val="20"/>
        </w:rPr>
        <w:t>.</w:t>
      </w:r>
    </w:p>
    <w:p w14:paraId="4121340C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„Mały róg” z Dn 7, „syn zatracenia” z 2 Tes 2 i bestia z morza z Ap 13 oznaczają tę samą prześladowczą potęgę, która dręczyła lud Boży w okresie średniowiecza - papiestwo. W naszym studium w bieżącym tygodniu odkryjemy, jak bestia z morza w Ap 13 będzie zwalczać i uciskać także Kościół Boży w czasie końca - tych, którzy „</w:t>
      </w:r>
      <w:r w:rsidRPr="00B31493">
        <w:rPr>
          <w:rFonts w:ascii="Times New Roman" w:hAnsi="Times New Roman"/>
          <w:color w:val="000000"/>
          <w:sz w:val="20"/>
        </w:rPr>
        <w:t>przestrzegają przykazań Bożych i wiary Jezusa</w:t>
      </w:r>
      <w:r w:rsidRPr="00B31493">
        <w:rPr>
          <w:rFonts w:ascii="Times New Roman" w:hAnsi="Times New Roman"/>
          <w:sz w:val="20"/>
        </w:rPr>
        <w:t>”.</w:t>
      </w:r>
    </w:p>
    <w:p w14:paraId="31D69763" w14:textId="77777777" w:rsidR="00810AEF" w:rsidRPr="00B31493" w:rsidRDefault="00810AEF" w:rsidP="00810AEF">
      <w:pPr>
        <w:rPr>
          <w:rFonts w:ascii="Times New Roman" w:hAnsi="Times New Roman"/>
          <w:sz w:val="20"/>
        </w:rPr>
      </w:pPr>
    </w:p>
    <w:p w14:paraId="107A8171" w14:textId="360F8434" w:rsidR="00810AEF" w:rsidRDefault="00810AEF" w:rsidP="00810AEF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II: Komentarz</w:t>
      </w:r>
    </w:p>
    <w:p w14:paraId="0C4F8A59" w14:textId="77777777" w:rsidR="00810AEF" w:rsidRPr="00B31493" w:rsidRDefault="00810AEF" w:rsidP="00810AEF">
      <w:pPr>
        <w:rPr>
          <w:rFonts w:ascii="Times New Roman" w:hAnsi="Times New Roman"/>
          <w:sz w:val="20"/>
        </w:rPr>
      </w:pPr>
    </w:p>
    <w:p w14:paraId="46C482AC" w14:textId="0EA6FC7A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Ap 12 zapowiada, że Szatan będzie prześladował lud Boży w średniowieczu. Według Ap 12 wierni wyznawcy Chrystusa będą uciekać na pustynię przez 1260 „dni” </w:t>
      </w:r>
      <w:r w:rsidRPr="00B31493">
        <w:rPr>
          <w:rFonts w:ascii="Times New Roman" w:hAnsi="Times New Roman"/>
          <w:iCs/>
          <w:sz w:val="20"/>
        </w:rPr>
        <w:t>(Ap 12,6)</w:t>
      </w:r>
      <w:r w:rsidRPr="00B31493">
        <w:rPr>
          <w:rFonts w:ascii="Times New Roman" w:hAnsi="Times New Roman"/>
          <w:sz w:val="20"/>
        </w:rPr>
        <w:t>. W Ap 12,14 czytamy: „</w:t>
      </w:r>
      <w:r w:rsidRPr="00B31493">
        <w:rPr>
          <w:rFonts w:ascii="Times New Roman" w:hAnsi="Times New Roman"/>
          <w:color w:val="000000"/>
          <w:sz w:val="20"/>
        </w:rPr>
        <w:t>I dano niewieście dwa skrzydła wielkiego orła, aby poleciała na pustynię na miejsce swoje, gdzie ją żywią przez czas i</w:t>
      </w:r>
      <w:r w:rsidR="00226F85">
        <w:rPr>
          <w:rFonts w:ascii="Times New Roman" w:hAnsi="Times New Roman"/>
          <w:color w:val="000000"/>
          <w:sz w:val="20"/>
        </w:rPr>
        <w:t> </w:t>
      </w:r>
      <w:r w:rsidRPr="00B31493">
        <w:rPr>
          <w:rFonts w:ascii="Times New Roman" w:hAnsi="Times New Roman"/>
          <w:color w:val="000000"/>
          <w:sz w:val="20"/>
        </w:rPr>
        <w:t>czasy, i pół czasu, z dala od węża</w:t>
      </w:r>
      <w:r w:rsidRPr="00B31493">
        <w:rPr>
          <w:rFonts w:ascii="Times New Roman" w:hAnsi="Times New Roman"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(Ap 12,14)</w:t>
      </w:r>
      <w:r w:rsidRPr="00B31493">
        <w:rPr>
          <w:rFonts w:ascii="Times New Roman" w:hAnsi="Times New Roman"/>
          <w:sz w:val="20"/>
        </w:rPr>
        <w:t>. Dn 7,25 ostrzega, że mały róg, to znaczy Kościół rzymski zjednoczony z władzą państwową, „</w:t>
      </w:r>
      <w:r w:rsidRPr="00B31493">
        <w:rPr>
          <w:rFonts w:ascii="Times New Roman" w:hAnsi="Times New Roman"/>
          <w:color w:val="000000"/>
          <w:sz w:val="20"/>
        </w:rPr>
        <w:t>będzie zamierzał zmienić czasy i Prawo, a święci będą wydani w jego ręce aż do czasu, czasów i połowy czasu</w:t>
      </w:r>
      <w:r w:rsidRPr="00B31493">
        <w:rPr>
          <w:rFonts w:ascii="Times New Roman" w:hAnsi="Times New Roman"/>
          <w:sz w:val="20"/>
        </w:rPr>
        <w:t>” (BT). Według Ap 13,5 ta unia Kościoła rzymskiego z władzami państwowymi będzie mieć „</w:t>
      </w:r>
      <w:r w:rsidRPr="00B31493">
        <w:rPr>
          <w:rFonts w:ascii="Times New Roman" w:hAnsi="Times New Roman"/>
          <w:color w:val="000000"/>
          <w:sz w:val="20"/>
        </w:rPr>
        <w:t>moc działania przez czterdzieści i dwa miesiące</w:t>
      </w:r>
      <w:r w:rsidRPr="00B31493">
        <w:rPr>
          <w:rFonts w:ascii="Times New Roman" w:hAnsi="Times New Roman"/>
          <w:sz w:val="20"/>
        </w:rPr>
        <w:t xml:space="preserve">”. Te trzy okresy, czyli 1260 proroczych „dni”, trzy i pół „czasu” oraz 42 „miesiące”, to ten sam okres historyczny występujący łącznie siedem razy w </w:t>
      </w:r>
      <w:r w:rsidRPr="00B31493">
        <w:rPr>
          <w:rFonts w:ascii="Times New Roman" w:hAnsi="Times New Roman"/>
          <w:i/>
          <w:iCs/>
          <w:sz w:val="20"/>
        </w:rPr>
        <w:t>Księdze Daniela</w:t>
      </w:r>
      <w:r w:rsidRPr="00B31493">
        <w:rPr>
          <w:rFonts w:ascii="Times New Roman" w:hAnsi="Times New Roman"/>
          <w:sz w:val="20"/>
        </w:rPr>
        <w:t xml:space="preserve"> i </w:t>
      </w:r>
      <w:r w:rsidRPr="00B31493">
        <w:rPr>
          <w:rFonts w:ascii="Times New Roman" w:hAnsi="Times New Roman"/>
          <w:i/>
          <w:iCs/>
          <w:sz w:val="20"/>
        </w:rPr>
        <w:t>Apokalipsie Jana</w:t>
      </w:r>
      <w:r w:rsidRPr="00B31493">
        <w:rPr>
          <w:rFonts w:ascii="Times New Roman" w:hAnsi="Times New Roman"/>
          <w:sz w:val="20"/>
        </w:rPr>
        <w:t>.</w:t>
      </w:r>
    </w:p>
    <w:p w14:paraId="7BD5EA48" w14:textId="5DE1973E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W artykule opublikowanym przez Instytut Badań Biblijnych Gerhard Pfandl zauważa: „Do XIX wieku większość studiujących apokaliptyczne księgi - </w:t>
      </w:r>
      <w:r w:rsidRPr="00B31493">
        <w:rPr>
          <w:rFonts w:ascii="Times New Roman" w:hAnsi="Times New Roman"/>
          <w:i/>
          <w:iCs/>
          <w:sz w:val="20"/>
        </w:rPr>
        <w:t>Księgę Daniela</w:t>
      </w:r>
      <w:r w:rsidRPr="00B31493">
        <w:rPr>
          <w:rFonts w:ascii="Times New Roman" w:hAnsi="Times New Roman"/>
          <w:sz w:val="20"/>
        </w:rPr>
        <w:t xml:space="preserve"> i </w:t>
      </w:r>
      <w:r w:rsidRPr="00B31493">
        <w:rPr>
          <w:rFonts w:ascii="Times New Roman" w:hAnsi="Times New Roman"/>
          <w:i/>
          <w:iCs/>
          <w:sz w:val="20"/>
        </w:rPr>
        <w:t>Apokalipsę Jana</w:t>
      </w:r>
      <w:r w:rsidRPr="00B31493">
        <w:rPr>
          <w:rFonts w:ascii="Times New Roman" w:hAnsi="Times New Roman"/>
          <w:sz w:val="20"/>
        </w:rPr>
        <w:t xml:space="preserve"> - posługiwało się historycystyczną metodą interpretacji zawartych w nich proroctw. Jednym z głównych filarów tej metody jest zasada »dzień za rok«, według której »dzień« w apokaliptycznych proroctwach dotyczących czasu symbolizuje rzeczywisty rok. W XIX wieku metoda historycystyczna była stopniowo zastępowana preterystycznym i</w:t>
      </w:r>
      <w:r w:rsidR="00226F85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 xml:space="preserve">futurystycznym systemem interpretacji. Oba te systemy odrzucają zasadę »dzień za rok«. Preteryści umieszczają większość proroctw w odległej przeszłości, w czasach imperium rzymskiego; futuryści przenoszą większość proroctw w przyszłość, w tym zwłaszcza w siedmioletni okres między tajemniczym pochwyceniem a powtórnym przyjściem Chrystusa” (Gerhard Pfandl, </w:t>
      </w:r>
      <w:r w:rsidRPr="00B31493">
        <w:rPr>
          <w:rFonts w:ascii="Times New Roman" w:hAnsi="Times New Roman"/>
          <w:i/>
          <w:sz w:val="20"/>
        </w:rPr>
        <w:t>In Defense of the Year-day Principle</w:t>
      </w:r>
      <w:r w:rsidRPr="00B31493">
        <w:rPr>
          <w:rFonts w:ascii="Times New Roman" w:hAnsi="Times New Roman"/>
          <w:sz w:val="20"/>
        </w:rPr>
        <w:t>, „</w:t>
      </w:r>
      <w:r w:rsidRPr="00B31493">
        <w:rPr>
          <w:rFonts w:ascii="Times New Roman" w:hAnsi="Times New Roman"/>
          <w:iCs/>
          <w:sz w:val="20"/>
        </w:rPr>
        <w:t>Journal of the Adventist Theological Society”, t. </w:t>
      </w:r>
      <w:r w:rsidRPr="00B31493">
        <w:rPr>
          <w:rFonts w:ascii="Times New Roman" w:hAnsi="Times New Roman"/>
          <w:sz w:val="20"/>
        </w:rPr>
        <w:t>23, 1/2012, s. 3).</w:t>
      </w:r>
    </w:p>
    <w:p w14:paraId="5889B847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Zważywszy symboliczny charakter wyobrażeń użytych w Dn 7-9; 12 oraz Ap 12-13, okresy historyczne są przedstawione w tych rozdziałach w sposób symboliczny. Kiedy zastosujemy w każdym takim przypadku zasadę „dzień za rok”, okazuje się, że przepowiedziane wydarzenia wypełniły się dokładnie w podanym czasie.</w:t>
      </w:r>
    </w:p>
    <w:p w14:paraId="366F59D4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We wspomnianym artykule Gerhard Pfandl zauważa trafnie: „Zgodnie z kontekstem wyrażenia »czas, czasy i pół czasu« (Dn 7,25; 12,7; Ap 12,14), »czterdzieści dwa miesiące« (Ap 11,2; 13,5) i »tysiąc dwieście sześćdziesiąt dni« (Ap 11,3; 12,6) odnoszą się do tego samego okresu. Jednak ani raz nie zostało użyte naturalne wyrażenie »trzy i pół roku«. »Wydaje się, że Duch Święty niejako wyczerpał wszystkie wyrażenia, przy pomocy których można zdefiniować ten okres, poza jedyną formą, która w oczywisty sposób zostałaby użyta w zwykłym piśmie i jest używana nieodmiennie w </w:t>
      </w:r>
      <w:r w:rsidRPr="00B31493">
        <w:rPr>
          <w:rFonts w:ascii="Times New Roman" w:hAnsi="Times New Roman"/>
          <w:i/>
          <w:iCs/>
          <w:sz w:val="20"/>
        </w:rPr>
        <w:t>Piśmie Świętym</w:t>
      </w:r>
      <w:r w:rsidRPr="00B31493">
        <w:rPr>
          <w:rFonts w:ascii="Times New Roman" w:hAnsi="Times New Roman"/>
          <w:sz w:val="20"/>
        </w:rPr>
        <w:t xml:space="preserve"> przy innych okazjach jako dosłowne oznaczenie danego okresu. Ta wariacja nabiera szczególnego znaczenia, gdy bierzemy pod uwagę zasadę ‘dzień za rok’, ale jest zupełnie niezrozumiała w jakikolwiek inny sposób« (Thomas R. Birks, </w:t>
      </w:r>
      <w:r w:rsidRPr="00B31493">
        <w:rPr>
          <w:rFonts w:ascii="Times New Roman" w:hAnsi="Times New Roman"/>
          <w:i/>
          <w:iCs/>
          <w:sz w:val="20"/>
        </w:rPr>
        <w:t>First Elements of Sacred Prophecy</w:t>
      </w:r>
      <w:r w:rsidRPr="00B31493">
        <w:rPr>
          <w:rFonts w:ascii="Times New Roman" w:hAnsi="Times New Roman"/>
          <w:sz w:val="20"/>
        </w:rPr>
        <w:t>, Londyn 1843, s. 352)” (tamże, s. 8).</w:t>
      </w:r>
    </w:p>
    <w:p w14:paraId="68D5F247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1260 proroczych dni - czas, czasy i pół czasu z </w:t>
      </w:r>
      <w:r w:rsidRPr="00B31493">
        <w:rPr>
          <w:rFonts w:ascii="Times New Roman" w:hAnsi="Times New Roman"/>
          <w:i/>
          <w:iCs/>
          <w:sz w:val="20"/>
        </w:rPr>
        <w:t>Księgi Daniela</w:t>
      </w:r>
      <w:r w:rsidRPr="00B31493">
        <w:rPr>
          <w:rFonts w:ascii="Times New Roman" w:hAnsi="Times New Roman"/>
          <w:sz w:val="20"/>
        </w:rPr>
        <w:t xml:space="preserve"> i </w:t>
      </w:r>
      <w:r w:rsidRPr="00B31493">
        <w:rPr>
          <w:rFonts w:ascii="Times New Roman" w:hAnsi="Times New Roman"/>
          <w:i/>
          <w:iCs/>
          <w:sz w:val="20"/>
        </w:rPr>
        <w:t>Apokalipsy Jana</w:t>
      </w:r>
      <w:r w:rsidRPr="00B31493">
        <w:rPr>
          <w:rFonts w:ascii="Times New Roman" w:hAnsi="Times New Roman"/>
          <w:sz w:val="20"/>
        </w:rPr>
        <w:t xml:space="preserve"> - to w rzeczywistości 1260 lat. Komentując ten proroczy okres, adwentystyczny komentarz biblijny stwierdza: „Proroczy okres małego rogu zaczął się w 538 roku n.e., kiedy Ostrogoci zaniechali oblężenia Rzymu, a biskup Rzymu, uwolniony spod kontroli ariańskich plemion, mógł wprowadzić w życie uprawnienia nadane mu dekretem Justyniana z 533 roku, a zatem objąć panowanie na »Stolicy Apostolskiej« (zob. w. 8). Dokładnie 1260 lat później, w 1798 roku, spektakularne zwycięstwa wojska napoleońskich we Włoszech sprawiły, że papież był zdany na łaskę władz </w:t>
      </w:r>
      <w:r w:rsidRPr="00B31493">
        <w:rPr>
          <w:rFonts w:ascii="Times New Roman" w:hAnsi="Times New Roman"/>
          <w:sz w:val="20"/>
        </w:rPr>
        <w:lastRenderedPageBreak/>
        <w:t>rewolucyjnej Francji. Te sugerowały Bonapartemu, że religia rzymska zawsze będzie zdecydowanie wroga Republice. Doradcy mówili: »Nic nie jest bardziej konieczne dla osiągnięcia wyznaczonego celu niż zniszczenie, o ile to możliwe, ośrodka jedności Kościoła rzymskiego. Do ciebie, łączącego wybitne cechy wodza i oświeconego polityka, należy realizacja tego zadania, o ile uznasz to za właściwe«. (...) W odpowiedzi na te rady Napoleon wydał odpowiedni rozkaz generałowi Berthier, a ten na czele francuskie armii wkroczył do Rzymu, ogłosił koniec politycznej władzy papiestwa, uwięził papieża i polecił wywieźć go do Francji, gdzie po latach papież zmarł na wygnaniu” (</w:t>
      </w:r>
      <w:r w:rsidRPr="00B31493">
        <w:rPr>
          <w:rFonts w:ascii="Times New Roman" w:hAnsi="Times New Roman"/>
          <w:i/>
          <w:iCs/>
          <w:sz w:val="20"/>
        </w:rPr>
        <w:t>Seventh-day Adventist Bible Commentary</w:t>
      </w:r>
      <w:r w:rsidRPr="00B31493">
        <w:rPr>
          <w:rFonts w:ascii="Times New Roman" w:hAnsi="Times New Roman"/>
          <w:sz w:val="20"/>
        </w:rPr>
        <w:t>, t. 4, s. 834).</w:t>
      </w:r>
    </w:p>
    <w:p w14:paraId="72BC8CF2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 xml:space="preserve">Proroctwo </w:t>
      </w:r>
      <w:r w:rsidRPr="00B31493">
        <w:rPr>
          <w:rFonts w:ascii="Times New Roman" w:hAnsi="Times New Roman"/>
          <w:i/>
          <w:iCs/>
          <w:sz w:val="20"/>
        </w:rPr>
        <w:t>Apokalipsy Jana</w:t>
      </w:r>
      <w:r w:rsidRPr="00B31493">
        <w:rPr>
          <w:rFonts w:ascii="Times New Roman" w:hAnsi="Times New Roman"/>
          <w:sz w:val="20"/>
        </w:rPr>
        <w:t xml:space="preserve"> przepowiada, że pozornie śmiertelna rana zadana papiestwu przez wojsko napoleońskie zostanie wygojona, a papiestwo odzyska międzynarodowe znaczenie </w:t>
      </w:r>
      <w:r w:rsidRPr="00B31493">
        <w:rPr>
          <w:rFonts w:ascii="Times New Roman" w:hAnsi="Times New Roman"/>
          <w:iCs/>
          <w:sz w:val="20"/>
        </w:rPr>
        <w:t>(Ap 13,3)</w:t>
      </w:r>
      <w:r w:rsidRPr="00B31493">
        <w:rPr>
          <w:rFonts w:ascii="Times New Roman" w:hAnsi="Times New Roman"/>
          <w:sz w:val="20"/>
        </w:rPr>
        <w:t>. Ten wzrost znaczenia papiestwa nastąpi szczególnie podczas ostatecznego konfliktu między pieczęcią Boga a znamieniem bestii. Aby pełniej zrozumieć charakter tego konfliktu, musimy najpierw odkryć, czym jest pieczęć Boga. Co takiego kryje się pod tym wyrażeniem?</w:t>
      </w:r>
    </w:p>
    <w:p w14:paraId="4678031E" w14:textId="299C477D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Według Rz 4,11 znak i pieczęć oznaczają to samo. Pieczęci było dobrze znanymi przedmiotami w</w:t>
      </w:r>
      <w:r w:rsidR="00226F85">
        <w:rPr>
          <w:rFonts w:ascii="Times New Roman" w:hAnsi="Times New Roman"/>
          <w:sz w:val="20"/>
        </w:rPr>
        <w:t> </w:t>
      </w:r>
      <w:r w:rsidRPr="00B31493">
        <w:rPr>
          <w:rFonts w:ascii="Times New Roman" w:hAnsi="Times New Roman"/>
          <w:sz w:val="20"/>
        </w:rPr>
        <w:t xml:space="preserve">starożytności. Posługiwano się nimi między innymi w celu potwierdzania autentyczności dokumentów. Pieczętowanie było także sposobem oznaczania własności. Pieczęci były odciskane w wosku albo miękkiej glinie. Pośród przykazań Bożych przykazanie sobotnie jest jedynym, które kwalifikuje się jako pieczęć Boga. Zawiera imię Boga, Jego tytuł i obszar panowania. P. Gerard Damsteegt zauważa: „Tak więc przykazanie sobotnie można uznać za pieczęć, jako że »jest jedynym z dziesięciu, które zawiera zarówno imię, jak i tytuł Prawodawcy. Jako jedyne wskazuje na mocy czyjego autorytetu dane jest prawo. Tak więc zawiera pieczęć Bożą, którą Bóg odcisnął na swoim prawie jako dowód jego autentyczności i obowiązującej mocy« (Ellen G. White, </w:t>
      </w:r>
      <w:r w:rsidRPr="00B31493">
        <w:rPr>
          <w:rFonts w:ascii="Times New Roman" w:hAnsi="Times New Roman"/>
          <w:i/>
          <w:iCs/>
          <w:sz w:val="20"/>
        </w:rPr>
        <w:t>Wybrańcy Boga</w:t>
      </w:r>
      <w:r w:rsidRPr="00B31493">
        <w:rPr>
          <w:rFonts w:ascii="Times New Roman" w:hAnsi="Times New Roman"/>
          <w:iCs/>
          <w:sz w:val="20"/>
        </w:rPr>
        <w:t>, wyd. 2, Warszawa 2018</w:t>
      </w:r>
      <w:r w:rsidRPr="00B31493">
        <w:rPr>
          <w:rFonts w:ascii="Times New Roman" w:hAnsi="Times New Roman"/>
          <w:sz w:val="20"/>
        </w:rPr>
        <w:t>, s. 220). Sobota nadaje Dziesięciorgu Przykazań ich wyjątkowe znaczenie. »Sobota została umieszczona w Dekalogu jako pieczęć Boga żywego wskazująca Prawodawcę i podkreślająca Jego prawo do panowania«. Tak więc sobota jest znakiem więzi między Bogiem i Jego ludem oraz służy jako »próba lojalności względem Niego« (Ellen G. White, w: „</w:t>
      </w:r>
      <w:r w:rsidRPr="00B31493">
        <w:rPr>
          <w:rFonts w:ascii="Times New Roman" w:hAnsi="Times New Roman"/>
          <w:iCs/>
          <w:sz w:val="20"/>
        </w:rPr>
        <w:t>Signs of the Times”,</w:t>
      </w:r>
      <w:r w:rsidRPr="00B31493">
        <w:rPr>
          <w:rFonts w:ascii="Times New Roman" w:hAnsi="Times New Roman"/>
          <w:sz w:val="20"/>
        </w:rPr>
        <w:t xml:space="preserve"> 13.5.1886). Misję Kościoła Adwentystów Dnia Siódmego można opisać jako »przedstawianie prawa Bożego jako próby charakteru i pieczęci Boga żywego« (Ellen G. White, </w:t>
      </w:r>
      <w:r w:rsidRPr="00B31493">
        <w:rPr>
          <w:rFonts w:ascii="Times New Roman" w:hAnsi="Times New Roman"/>
          <w:i/>
          <w:iCs/>
          <w:sz w:val="20"/>
        </w:rPr>
        <w:t>Testimonies for the Church</w:t>
      </w:r>
      <w:r w:rsidRPr="00B31493">
        <w:rPr>
          <w:rFonts w:ascii="Times New Roman" w:hAnsi="Times New Roman"/>
          <w:sz w:val="20"/>
        </w:rPr>
        <w:t xml:space="preserve">, t. 2, s. 468)” (P. Gerard Damsteegt, </w:t>
      </w:r>
      <w:r w:rsidRPr="00B31493">
        <w:rPr>
          <w:rFonts w:ascii="Times New Roman" w:hAnsi="Times New Roman"/>
          <w:i/>
          <w:sz w:val="20"/>
        </w:rPr>
        <w:t>The Seal of God</w:t>
      </w:r>
      <w:r w:rsidRPr="00B31493">
        <w:rPr>
          <w:rFonts w:ascii="Times New Roman" w:hAnsi="Times New Roman"/>
          <w:sz w:val="20"/>
        </w:rPr>
        <w:t>, „</w:t>
      </w:r>
      <w:r w:rsidRPr="00B31493">
        <w:rPr>
          <w:rFonts w:ascii="Times New Roman" w:hAnsi="Times New Roman"/>
          <w:iCs/>
          <w:sz w:val="20"/>
        </w:rPr>
        <w:t>Adventists Affirm”</w:t>
      </w:r>
      <w:r w:rsidRPr="00B31493">
        <w:rPr>
          <w:rFonts w:ascii="Times New Roman" w:hAnsi="Times New Roman"/>
          <w:sz w:val="20"/>
        </w:rPr>
        <w:t>, t. 8, 3/1994, s. 37-38).</w:t>
      </w:r>
    </w:p>
    <w:p w14:paraId="051C82A0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Pieczęć Boga przejawiająca się świętowaniem soboty jest znakiem przyjęcia przez nas autorytetu Boga. Ellen G. White trafnie zauważa: „Gdy ty</w:t>
      </w:r>
      <w:r w:rsidRPr="00B31493">
        <w:rPr>
          <w:rFonts w:ascii="Times New Roman" w:hAnsi="Times New Roman"/>
          <w:sz w:val="20"/>
        </w:rPr>
        <w:softHyphen/>
        <w:t>l</w:t>
      </w:r>
      <w:r w:rsidRPr="00B31493">
        <w:rPr>
          <w:rFonts w:ascii="Times New Roman" w:hAnsi="Times New Roman"/>
          <w:sz w:val="20"/>
        </w:rPr>
        <w:softHyphen/>
        <w:t>ko na czo</w:t>
      </w:r>
      <w:r w:rsidRPr="00B31493">
        <w:rPr>
          <w:rFonts w:ascii="Times New Roman" w:hAnsi="Times New Roman"/>
          <w:sz w:val="20"/>
        </w:rPr>
        <w:softHyphen/>
        <w:t>łach lu</w:t>
      </w:r>
      <w:r w:rsidRPr="00B31493">
        <w:rPr>
          <w:rFonts w:ascii="Times New Roman" w:hAnsi="Times New Roman"/>
          <w:sz w:val="20"/>
        </w:rPr>
        <w:softHyphen/>
        <w:t>du Bo</w:t>
      </w:r>
      <w:r w:rsidRPr="00B31493">
        <w:rPr>
          <w:rFonts w:ascii="Times New Roman" w:hAnsi="Times New Roman"/>
          <w:sz w:val="20"/>
        </w:rPr>
        <w:softHyphen/>
        <w:t>że</w:t>
      </w:r>
      <w:r w:rsidRPr="00B31493">
        <w:rPr>
          <w:rFonts w:ascii="Times New Roman" w:hAnsi="Times New Roman"/>
          <w:sz w:val="20"/>
        </w:rPr>
        <w:softHyphen/>
        <w:t>go zo</w:t>
      </w:r>
      <w:r w:rsidRPr="00B31493">
        <w:rPr>
          <w:rFonts w:ascii="Times New Roman" w:hAnsi="Times New Roman"/>
          <w:sz w:val="20"/>
        </w:rPr>
        <w:softHyphen/>
        <w:t>s</w:t>
      </w:r>
      <w:r w:rsidRPr="00B31493">
        <w:rPr>
          <w:rFonts w:ascii="Times New Roman" w:hAnsi="Times New Roman"/>
          <w:sz w:val="20"/>
        </w:rPr>
        <w:softHyphen/>
        <w:t>ta</w:t>
      </w:r>
      <w:r w:rsidRPr="00B31493">
        <w:rPr>
          <w:rFonts w:ascii="Times New Roman" w:hAnsi="Times New Roman"/>
          <w:sz w:val="20"/>
        </w:rPr>
        <w:softHyphen/>
        <w:t>nie po</w:t>
      </w:r>
      <w:r w:rsidRPr="00B31493">
        <w:rPr>
          <w:rFonts w:ascii="Times New Roman" w:hAnsi="Times New Roman"/>
          <w:sz w:val="20"/>
        </w:rPr>
        <w:softHyphen/>
        <w:t>ło</w:t>
      </w:r>
      <w:r w:rsidRPr="00B31493">
        <w:rPr>
          <w:rFonts w:ascii="Times New Roman" w:hAnsi="Times New Roman"/>
          <w:sz w:val="20"/>
        </w:rPr>
        <w:softHyphen/>
        <w:t>żo</w:t>
      </w:r>
      <w:r w:rsidRPr="00B31493">
        <w:rPr>
          <w:rFonts w:ascii="Times New Roman" w:hAnsi="Times New Roman"/>
          <w:sz w:val="20"/>
        </w:rPr>
        <w:softHyphen/>
        <w:t>na pie</w:t>
      </w:r>
      <w:r w:rsidRPr="00B31493">
        <w:rPr>
          <w:rFonts w:ascii="Times New Roman" w:hAnsi="Times New Roman"/>
          <w:sz w:val="20"/>
        </w:rPr>
        <w:softHyphen/>
        <w:t>częć — nie jest to pie</w:t>
      </w:r>
      <w:r w:rsidRPr="00B31493">
        <w:rPr>
          <w:rFonts w:ascii="Times New Roman" w:hAnsi="Times New Roman"/>
          <w:sz w:val="20"/>
        </w:rPr>
        <w:softHyphen/>
        <w:t>częć czy znak wi</w:t>
      </w:r>
      <w:r w:rsidRPr="00B31493">
        <w:rPr>
          <w:rFonts w:ascii="Times New Roman" w:hAnsi="Times New Roman"/>
          <w:sz w:val="20"/>
        </w:rPr>
        <w:softHyphen/>
        <w:t>dzia</w:t>
      </w:r>
      <w:r w:rsidRPr="00B31493">
        <w:rPr>
          <w:rFonts w:ascii="Times New Roman" w:hAnsi="Times New Roman"/>
          <w:sz w:val="20"/>
        </w:rPr>
        <w:softHyphen/>
        <w:t>l</w:t>
      </w:r>
      <w:r w:rsidRPr="00B31493">
        <w:rPr>
          <w:rFonts w:ascii="Times New Roman" w:hAnsi="Times New Roman"/>
          <w:sz w:val="20"/>
        </w:rPr>
        <w:softHyphen/>
        <w:t>ny, ale utwie</w:t>
      </w:r>
      <w:r w:rsidRPr="00B31493">
        <w:rPr>
          <w:rFonts w:ascii="Times New Roman" w:hAnsi="Times New Roman"/>
          <w:sz w:val="20"/>
        </w:rPr>
        <w:softHyphen/>
        <w:t>r</w:t>
      </w:r>
      <w:r w:rsidRPr="00B31493">
        <w:rPr>
          <w:rFonts w:ascii="Times New Roman" w:hAnsi="Times New Roman"/>
          <w:sz w:val="20"/>
        </w:rPr>
        <w:softHyphen/>
        <w:t>dze</w:t>
      </w:r>
      <w:r w:rsidRPr="00B31493">
        <w:rPr>
          <w:rFonts w:ascii="Times New Roman" w:hAnsi="Times New Roman"/>
          <w:sz w:val="20"/>
        </w:rPr>
        <w:softHyphen/>
        <w:t>nie w pra</w:t>
      </w:r>
      <w:r w:rsidRPr="00B31493">
        <w:rPr>
          <w:rFonts w:ascii="Times New Roman" w:hAnsi="Times New Roman"/>
          <w:sz w:val="20"/>
        </w:rPr>
        <w:softHyphen/>
        <w:t>w</w:t>
      </w:r>
      <w:r w:rsidRPr="00B31493">
        <w:rPr>
          <w:rFonts w:ascii="Times New Roman" w:hAnsi="Times New Roman"/>
          <w:sz w:val="20"/>
        </w:rPr>
        <w:softHyphen/>
        <w:t>dzie, za</w:t>
      </w:r>
      <w:r w:rsidRPr="00B31493">
        <w:rPr>
          <w:rFonts w:ascii="Times New Roman" w:hAnsi="Times New Roman"/>
          <w:sz w:val="20"/>
        </w:rPr>
        <w:softHyphen/>
        <w:t>ró</w:t>
      </w:r>
      <w:r w:rsidRPr="00B31493">
        <w:rPr>
          <w:rFonts w:ascii="Times New Roman" w:hAnsi="Times New Roman"/>
          <w:sz w:val="20"/>
        </w:rPr>
        <w:softHyphen/>
        <w:t>w</w:t>
      </w:r>
      <w:r w:rsidRPr="00B31493">
        <w:rPr>
          <w:rFonts w:ascii="Times New Roman" w:hAnsi="Times New Roman"/>
          <w:sz w:val="20"/>
        </w:rPr>
        <w:softHyphen/>
        <w:t>no in</w:t>
      </w:r>
      <w:r w:rsidRPr="00B31493">
        <w:rPr>
          <w:rFonts w:ascii="Times New Roman" w:hAnsi="Times New Roman"/>
          <w:sz w:val="20"/>
        </w:rPr>
        <w:softHyphen/>
        <w:t>te</w:t>
      </w:r>
      <w:r w:rsidRPr="00B31493">
        <w:rPr>
          <w:rFonts w:ascii="Times New Roman" w:hAnsi="Times New Roman"/>
          <w:sz w:val="20"/>
        </w:rPr>
        <w:softHyphen/>
        <w:t>le</w:t>
      </w:r>
      <w:r w:rsidRPr="00B31493">
        <w:rPr>
          <w:rFonts w:ascii="Times New Roman" w:hAnsi="Times New Roman"/>
          <w:sz w:val="20"/>
        </w:rPr>
        <w:softHyphen/>
        <w:t>ktu</w:t>
      </w:r>
      <w:r w:rsidRPr="00B31493">
        <w:rPr>
          <w:rFonts w:ascii="Times New Roman" w:hAnsi="Times New Roman"/>
          <w:sz w:val="20"/>
        </w:rPr>
        <w:softHyphen/>
        <w:t>a</w:t>
      </w:r>
      <w:r w:rsidRPr="00B31493">
        <w:rPr>
          <w:rFonts w:ascii="Times New Roman" w:hAnsi="Times New Roman"/>
          <w:sz w:val="20"/>
        </w:rPr>
        <w:softHyphen/>
        <w:t>l</w:t>
      </w:r>
      <w:r w:rsidRPr="00B31493">
        <w:rPr>
          <w:rFonts w:ascii="Times New Roman" w:hAnsi="Times New Roman"/>
          <w:sz w:val="20"/>
        </w:rPr>
        <w:softHyphen/>
        <w:t>ne, jak i du</w:t>
      </w:r>
      <w:r w:rsidRPr="00B31493">
        <w:rPr>
          <w:rFonts w:ascii="Times New Roman" w:hAnsi="Times New Roman"/>
          <w:sz w:val="20"/>
        </w:rPr>
        <w:softHyphen/>
        <w:t>cho</w:t>
      </w:r>
      <w:r w:rsidRPr="00B31493">
        <w:rPr>
          <w:rFonts w:ascii="Times New Roman" w:hAnsi="Times New Roman"/>
          <w:sz w:val="20"/>
        </w:rPr>
        <w:softHyphen/>
        <w:t>we, tak że bę</w:t>
      </w:r>
      <w:r w:rsidRPr="00B31493">
        <w:rPr>
          <w:rFonts w:ascii="Times New Roman" w:hAnsi="Times New Roman"/>
          <w:sz w:val="20"/>
        </w:rPr>
        <w:softHyphen/>
        <w:t>dą już trwać nie</w:t>
      </w:r>
      <w:r w:rsidRPr="00B31493">
        <w:rPr>
          <w:rFonts w:ascii="Times New Roman" w:hAnsi="Times New Roman"/>
          <w:sz w:val="20"/>
        </w:rPr>
        <w:softHyphen/>
        <w:t>po</w:t>
      </w:r>
      <w:r w:rsidRPr="00B31493">
        <w:rPr>
          <w:rFonts w:ascii="Times New Roman" w:hAnsi="Times New Roman"/>
          <w:sz w:val="20"/>
        </w:rPr>
        <w:softHyphen/>
        <w:t>ru</w:t>
      </w:r>
      <w:r w:rsidRPr="00B31493">
        <w:rPr>
          <w:rFonts w:ascii="Times New Roman" w:hAnsi="Times New Roman"/>
          <w:sz w:val="20"/>
        </w:rPr>
        <w:softHyphen/>
        <w:t>sze</w:t>
      </w:r>
      <w:r w:rsidRPr="00B31493">
        <w:rPr>
          <w:rFonts w:ascii="Times New Roman" w:hAnsi="Times New Roman"/>
          <w:sz w:val="20"/>
        </w:rPr>
        <w:softHyphen/>
        <w:t>ni — gdy ty</w:t>
      </w:r>
      <w:r w:rsidRPr="00B31493">
        <w:rPr>
          <w:rFonts w:ascii="Times New Roman" w:hAnsi="Times New Roman"/>
          <w:sz w:val="20"/>
        </w:rPr>
        <w:softHyphen/>
        <w:t>l</w:t>
      </w:r>
      <w:r w:rsidRPr="00B31493">
        <w:rPr>
          <w:rFonts w:ascii="Times New Roman" w:hAnsi="Times New Roman"/>
          <w:sz w:val="20"/>
        </w:rPr>
        <w:softHyphen/>
        <w:t>ko lud Bo</w:t>
      </w:r>
      <w:r w:rsidRPr="00B31493">
        <w:rPr>
          <w:rFonts w:ascii="Times New Roman" w:hAnsi="Times New Roman"/>
          <w:sz w:val="20"/>
        </w:rPr>
        <w:softHyphen/>
        <w:t>ży zo</w:t>
      </w:r>
      <w:r w:rsidRPr="00B31493">
        <w:rPr>
          <w:rFonts w:ascii="Times New Roman" w:hAnsi="Times New Roman"/>
          <w:sz w:val="20"/>
        </w:rPr>
        <w:softHyphen/>
        <w:t>s</w:t>
      </w:r>
      <w:r w:rsidRPr="00B31493">
        <w:rPr>
          <w:rFonts w:ascii="Times New Roman" w:hAnsi="Times New Roman"/>
          <w:sz w:val="20"/>
        </w:rPr>
        <w:softHyphen/>
        <w:t>ta</w:t>
      </w:r>
      <w:r w:rsidRPr="00B31493">
        <w:rPr>
          <w:rFonts w:ascii="Times New Roman" w:hAnsi="Times New Roman"/>
          <w:sz w:val="20"/>
        </w:rPr>
        <w:softHyphen/>
        <w:t>nie za</w:t>
      </w:r>
      <w:r w:rsidRPr="00B31493">
        <w:rPr>
          <w:rFonts w:ascii="Times New Roman" w:hAnsi="Times New Roman"/>
          <w:sz w:val="20"/>
        </w:rPr>
        <w:softHyphen/>
        <w:t>pie</w:t>
      </w:r>
      <w:r w:rsidRPr="00B31493">
        <w:rPr>
          <w:rFonts w:ascii="Times New Roman" w:hAnsi="Times New Roman"/>
          <w:sz w:val="20"/>
        </w:rPr>
        <w:softHyphen/>
        <w:t>czę</w:t>
      </w:r>
      <w:r w:rsidRPr="00B31493">
        <w:rPr>
          <w:rFonts w:ascii="Times New Roman" w:hAnsi="Times New Roman"/>
          <w:sz w:val="20"/>
        </w:rPr>
        <w:softHyphen/>
        <w:t>to</w:t>
      </w:r>
      <w:r w:rsidRPr="00B31493">
        <w:rPr>
          <w:rFonts w:ascii="Times New Roman" w:hAnsi="Times New Roman"/>
          <w:sz w:val="20"/>
        </w:rPr>
        <w:softHyphen/>
        <w:t>wa</w:t>
      </w:r>
      <w:r w:rsidRPr="00B31493">
        <w:rPr>
          <w:rFonts w:ascii="Times New Roman" w:hAnsi="Times New Roman"/>
          <w:sz w:val="20"/>
        </w:rPr>
        <w:softHyphen/>
        <w:t>ny i przy</w:t>
      </w:r>
      <w:r w:rsidRPr="00B31493">
        <w:rPr>
          <w:rFonts w:ascii="Times New Roman" w:hAnsi="Times New Roman"/>
          <w:sz w:val="20"/>
        </w:rPr>
        <w:softHyphen/>
        <w:t>go</w:t>
      </w:r>
      <w:r w:rsidRPr="00B31493">
        <w:rPr>
          <w:rFonts w:ascii="Times New Roman" w:hAnsi="Times New Roman"/>
          <w:sz w:val="20"/>
        </w:rPr>
        <w:softHyphen/>
        <w:t>to</w:t>
      </w:r>
      <w:r w:rsidRPr="00B31493">
        <w:rPr>
          <w:rFonts w:ascii="Times New Roman" w:hAnsi="Times New Roman"/>
          <w:sz w:val="20"/>
        </w:rPr>
        <w:softHyphen/>
        <w:t>wa</w:t>
      </w:r>
      <w:r w:rsidRPr="00B31493">
        <w:rPr>
          <w:rFonts w:ascii="Times New Roman" w:hAnsi="Times New Roman"/>
          <w:sz w:val="20"/>
        </w:rPr>
        <w:softHyphen/>
        <w:t>ny na prze</w:t>
      </w:r>
      <w:r w:rsidRPr="00B31493">
        <w:rPr>
          <w:rFonts w:ascii="Times New Roman" w:hAnsi="Times New Roman"/>
          <w:sz w:val="20"/>
        </w:rPr>
        <w:softHyphen/>
        <w:t>siew, prze</w:t>
      </w:r>
      <w:r w:rsidRPr="00B31493">
        <w:rPr>
          <w:rFonts w:ascii="Times New Roman" w:hAnsi="Times New Roman"/>
          <w:sz w:val="20"/>
        </w:rPr>
        <w:softHyphen/>
        <w:t>siew na</w:t>
      </w:r>
      <w:r w:rsidRPr="00B31493">
        <w:rPr>
          <w:rFonts w:ascii="Times New Roman" w:hAnsi="Times New Roman"/>
          <w:sz w:val="20"/>
        </w:rPr>
        <w:softHyphen/>
        <w:t>stą</w:t>
      </w:r>
      <w:r w:rsidRPr="00B31493">
        <w:rPr>
          <w:rFonts w:ascii="Times New Roman" w:hAnsi="Times New Roman"/>
          <w:sz w:val="20"/>
        </w:rPr>
        <w:softHyphen/>
        <w:t xml:space="preserve">pi” (Ellen G. White Comments, </w:t>
      </w:r>
      <w:r w:rsidRPr="00B31493">
        <w:rPr>
          <w:rFonts w:ascii="Times New Roman" w:hAnsi="Times New Roman"/>
          <w:i/>
          <w:iCs/>
          <w:sz w:val="20"/>
        </w:rPr>
        <w:t>Wydarzenia czasów końca</w:t>
      </w:r>
      <w:r w:rsidRPr="00B31493">
        <w:rPr>
          <w:rFonts w:ascii="Times New Roman" w:hAnsi="Times New Roman"/>
          <w:iCs/>
          <w:sz w:val="20"/>
        </w:rPr>
        <w:t>, Warszawa 1995</w:t>
      </w:r>
      <w:r w:rsidRPr="00B31493">
        <w:rPr>
          <w:rFonts w:ascii="Times New Roman" w:hAnsi="Times New Roman"/>
          <w:sz w:val="20"/>
        </w:rPr>
        <w:t>, s. 148). Zapieczętowani przez Ducha Świętego, jesteśmy przygotowani na kryzys przed nami. W tym kontekście szczególnego znaczenia nabiera rada apostoła Pawła: „N</w:t>
      </w:r>
      <w:r w:rsidRPr="00B31493">
        <w:rPr>
          <w:rFonts w:ascii="Times New Roman" w:hAnsi="Times New Roman"/>
          <w:color w:val="000000"/>
          <w:sz w:val="20"/>
        </w:rPr>
        <w:t>ie zasmucajcie Bożego Ducha Świętego, którym jesteście zapieczętowani na dzień odkupienia</w:t>
      </w:r>
      <w:r w:rsidRPr="00B31493">
        <w:rPr>
          <w:rFonts w:ascii="Times New Roman" w:hAnsi="Times New Roman"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(Ef 4,30)</w:t>
      </w:r>
      <w:r w:rsidRPr="00B31493">
        <w:rPr>
          <w:rFonts w:ascii="Times New Roman" w:hAnsi="Times New Roman"/>
          <w:sz w:val="20"/>
        </w:rPr>
        <w:t>.</w:t>
      </w:r>
    </w:p>
    <w:p w14:paraId="31CBD6BE" w14:textId="77777777" w:rsidR="00810AEF" w:rsidRPr="00B31493" w:rsidRDefault="00810AEF" w:rsidP="00810AEF">
      <w:pPr>
        <w:rPr>
          <w:rFonts w:ascii="Times New Roman" w:hAnsi="Times New Roman"/>
          <w:sz w:val="20"/>
        </w:rPr>
      </w:pPr>
    </w:p>
    <w:p w14:paraId="73FA0DB6" w14:textId="77777777" w:rsidR="00810AEF" w:rsidRPr="00B31493" w:rsidRDefault="00810AEF" w:rsidP="00810AEF">
      <w:pPr>
        <w:rPr>
          <w:rFonts w:ascii="Times New Roman" w:hAnsi="Times New Roman"/>
          <w:b/>
          <w:sz w:val="20"/>
        </w:rPr>
      </w:pPr>
      <w:r w:rsidRPr="00B31493">
        <w:rPr>
          <w:rFonts w:ascii="Times New Roman" w:hAnsi="Times New Roman"/>
          <w:b/>
          <w:sz w:val="20"/>
        </w:rPr>
        <w:t>Część III: Zastosowanie</w:t>
      </w:r>
    </w:p>
    <w:p w14:paraId="5AED0563" w14:textId="77777777" w:rsidR="00810AEF" w:rsidRPr="00B31493" w:rsidRDefault="00810AEF" w:rsidP="00810AEF">
      <w:pPr>
        <w:rPr>
          <w:rFonts w:ascii="Times New Roman" w:hAnsi="Times New Roman"/>
          <w:b/>
          <w:sz w:val="20"/>
        </w:rPr>
      </w:pPr>
    </w:p>
    <w:p w14:paraId="51F493FC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bCs/>
          <w:sz w:val="20"/>
        </w:rPr>
        <w:t>Do przemyślenia:</w:t>
      </w:r>
      <w:r w:rsidRPr="00B31493">
        <w:rPr>
          <w:rFonts w:ascii="Times New Roman" w:hAnsi="Times New Roman"/>
          <w:sz w:val="20"/>
        </w:rPr>
        <w:t xml:space="preserve"> Choć znamię bestii jest przeciwieństwem pieczęci Boga, to jednak jedno mają wspólne. Żadne nie jest nakładane nagle, w jednej chwili. Przyjęcie pieczęci Boga następuje stopniowo, w miarę jak nasz umysł dzień po dniu jest kształtowany na obraz Chrystusa. „</w:t>
      </w:r>
      <w:r w:rsidRPr="00B31493">
        <w:rPr>
          <w:rFonts w:ascii="Times New Roman" w:hAnsi="Times New Roman"/>
          <w:spacing w:val="-2"/>
          <w:sz w:val="20"/>
        </w:rPr>
        <w:t>Prawo dotyczące zarówno intelektualnej, jak i duchowej sfery ludzkiej natury, głosi, że zmieniamy się poprzez przyglądanie się. Umysł stopniowo dostosowuje się do tego, z czym pozostaje w kontakcie</w:t>
      </w:r>
      <w:r w:rsidRPr="00B31493">
        <w:rPr>
          <w:rFonts w:ascii="Times New Roman" w:hAnsi="Times New Roman"/>
          <w:sz w:val="20"/>
        </w:rPr>
        <w:t xml:space="preserve">” (Ellen G. White, </w:t>
      </w:r>
      <w:r w:rsidRPr="00B31493">
        <w:rPr>
          <w:rFonts w:ascii="Times New Roman" w:hAnsi="Times New Roman"/>
          <w:i/>
          <w:iCs/>
          <w:sz w:val="20"/>
        </w:rPr>
        <w:t>Wielki bój</w:t>
      </w:r>
      <w:r w:rsidRPr="00B31493">
        <w:rPr>
          <w:rFonts w:ascii="Times New Roman" w:hAnsi="Times New Roman"/>
          <w:iCs/>
          <w:sz w:val="20"/>
        </w:rPr>
        <w:t xml:space="preserve">, wyd. 20, Warszawa 2019, s. </w:t>
      </w:r>
      <w:r w:rsidRPr="00B31493">
        <w:rPr>
          <w:rFonts w:ascii="Times New Roman" w:hAnsi="Times New Roman"/>
          <w:sz w:val="20"/>
        </w:rPr>
        <w:t>333).</w:t>
      </w:r>
    </w:p>
    <w:p w14:paraId="2EDE0F67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Patrząc na Jezusa i napełniając umysł nauką Słowa Bożego stajemy się podobni do Niego. Potrzeba czasu, by rozwinął się charakter. Głębokie, trwałe więzi także rozwijają się z czasem i nie da się ich zbudować z dnia na dzień. Kiedy rozmyślamy o życiu Chrystusa, Duch Święty działa w naszym życiu, „pieczętując” w nas zasady królestwa Bożego i przygotowując nas na ostateczny test związany z przykazaniem sobotnim.</w:t>
      </w:r>
    </w:p>
    <w:p w14:paraId="1801A8A1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Jak pieczęć Boga nie jest przyjmowana w jednej chwili, tak przyjęcie znamienia bestii również wymaga czasu. Codzienne kompromisy, skrywane grzechy, ukryte bożki pielęgnowane w głębi serca, niechrześcijańskie postawy - wszystko to prowadzi do przyjęcia znamienia bestii. Jeśli dzisiaj upadamy w próbach, to z pewnością upadniemy w większych próbach jutro, kiedy znamię bestii zostanie narzucone ludzkości. Adwentystyczny kaznodzieja Luther Warren mawiał: „Jedyny sposób, w jaki możemy być gotowi na przyjście Jezusa, to przygotować się i pozostać przygotowanymi”.</w:t>
      </w:r>
    </w:p>
    <w:p w14:paraId="12AEE389" w14:textId="77777777" w:rsidR="00810AEF" w:rsidRPr="00B31493" w:rsidRDefault="00810AEF" w:rsidP="00810AEF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sz w:val="20"/>
        </w:rPr>
        <w:t>Poproś uczestników studium, by zastanowili się nad powyższymi słowami Luthera Warrena. Zachęć ich, by w nadchodzącym tygodniu modlili się, by Bóg objawił im wszystko, co przeszkadza im w przygotowaniu na powtórne przyjście Jezusa.</w:t>
      </w:r>
    </w:p>
    <w:p w14:paraId="5A5BB757" w14:textId="77777777" w:rsidR="00810AEF" w:rsidRPr="00B31493" w:rsidRDefault="00810AEF" w:rsidP="00810AEF">
      <w:pPr>
        <w:rPr>
          <w:rFonts w:ascii="Times New Roman" w:hAnsi="Times New Roman"/>
          <w:sz w:val="20"/>
        </w:rPr>
      </w:pPr>
    </w:p>
    <w:p w14:paraId="6C5C2A80" w14:textId="260AE5C8" w:rsidR="001B38DA" w:rsidRPr="00B31493" w:rsidRDefault="001B38DA" w:rsidP="00810AEF">
      <w:pPr>
        <w:rPr>
          <w:rFonts w:ascii="Times New Roman" w:hAnsi="Times New Roman"/>
          <w:sz w:val="20"/>
        </w:rPr>
      </w:pPr>
    </w:p>
    <w:sectPr w:rsidR="001B38DA" w:rsidRPr="00B31493" w:rsidSect="001F51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3E01" w14:textId="77777777" w:rsidR="00B942DA" w:rsidRDefault="00B942DA" w:rsidP="00A820C9">
      <w:r>
        <w:separator/>
      </w:r>
    </w:p>
  </w:endnote>
  <w:endnote w:type="continuationSeparator" w:id="0">
    <w:p w14:paraId="5C7B9B60" w14:textId="77777777" w:rsidR="00B942DA" w:rsidRDefault="00B942DA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4FAA" w14:textId="77777777" w:rsidR="0019134D" w:rsidRDefault="001913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3034" w14:textId="77777777" w:rsidR="0019134D" w:rsidRDefault="001913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C9B0" w14:textId="77777777" w:rsidR="00B942DA" w:rsidRDefault="00B942DA" w:rsidP="00A820C9">
      <w:r>
        <w:separator/>
      </w:r>
    </w:p>
  </w:footnote>
  <w:footnote w:type="continuationSeparator" w:id="0">
    <w:p w14:paraId="42A0F525" w14:textId="77777777" w:rsidR="00B942DA" w:rsidRDefault="00B942DA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555D" w14:textId="77777777" w:rsidR="0019134D" w:rsidRDefault="001913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651DED0E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6579C5">
      <w:rPr>
        <w:rFonts w:ascii="Times New Roman" w:eastAsia="MS PMincho" w:hAnsi="Times New Roman"/>
        <w:sz w:val="16"/>
        <w:szCs w:val="16"/>
      </w:rPr>
      <w:t>2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6579C5">
      <w:rPr>
        <w:rFonts w:ascii="Times New Roman" w:hAnsi="Times New Roman"/>
        <w:sz w:val="16"/>
        <w:szCs w:val="16"/>
      </w:rPr>
      <w:t>Mark Finley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6579C5">
      <w:rPr>
        <w:rFonts w:ascii="Times New Roman" w:hAnsi="Times New Roman"/>
        <w:i/>
        <w:iCs/>
        <w:sz w:val="16"/>
        <w:szCs w:val="16"/>
      </w:rPr>
      <w:t>Trzy niebiańskie przesłania</w:t>
    </w:r>
  </w:p>
  <w:p w14:paraId="172D6354" w14:textId="6E0F027A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645D50">
      <w:rPr>
        <w:rFonts w:ascii="Times New Roman" w:hAnsi="Times New Roman"/>
        <w:sz w:val="16"/>
        <w:szCs w:val="16"/>
      </w:rPr>
      <w:t xml:space="preserve"> </w:t>
    </w:r>
    <w:r w:rsidR="0001246D">
      <w:rPr>
        <w:rFonts w:ascii="Times New Roman" w:hAnsi="Times New Roman"/>
        <w:sz w:val="16"/>
        <w:szCs w:val="16"/>
      </w:rPr>
      <w:t>1</w:t>
    </w:r>
    <w:r w:rsidR="0019134D">
      <w:rPr>
        <w:rFonts w:ascii="Times New Roman" w:hAnsi="Times New Roman"/>
        <w:sz w:val="16"/>
        <w:szCs w:val="16"/>
      </w:rPr>
      <w:t>2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01246D">
      <w:rPr>
        <w:rFonts w:ascii="Times New Roman" w:hAnsi="Times New Roman"/>
        <w:bCs/>
        <w:sz w:val="16"/>
        <w:szCs w:val="16"/>
      </w:rPr>
      <w:t>Pieczęć Boga i znamię bestii, cz. I</w:t>
    </w:r>
    <w:r w:rsidR="00810AEF">
      <w:rPr>
        <w:rFonts w:ascii="Times New Roman" w:hAnsi="Times New Roman"/>
        <w:bCs/>
        <w:sz w:val="16"/>
        <w:szCs w:val="16"/>
      </w:rPr>
      <w:t>I</w:t>
    </w:r>
    <w:r w:rsidR="00AA6EB1">
      <w:rPr>
        <w:rFonts w:ascii="Times New Roman" w:hAnsi="Times New Roman"/>
        <w:bCs/>
        <w:sz w:val="16"/>
        <w:szCs w:val="16"/>
      </w:rPr>
      <w:t xml:space="preserve"> </w:t>
    </w:r>
    <w:r w:rsidR="00255718">
      <w:rPr>
        <w:rFonts w:ascii="Times New Roman" w:hAnsi="Times New Roman"/>
        <w:bCs/>
        <w:sz w:val="16"/>
        <w:szCs w:val="16"/>
      </w:rPr>
      <w:t xml:space="preserve"> 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8FF9" w14:textId="77777777" w:rsidR="0019134D" w:rsidRDefault="001913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92B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2210"/>
    <w:rsid w:val="000B4665"/>
    <w:rsid w:val="000C39FA"/>
    <w:rsid w:val="000C43D8"/>
    <w:rsid w:val="000C5999"/>
    <w:rsid w:val="000C77EF"/>
    <w:rsid w:val="000D0B43"/>
    <w:rsid w:val="000D3669"/>
    <w:rsid w:val="000D704C"/>
    <w:rsid w:val="000E37F9"/>
    <w:rsid w:val="000E3D8C"/>
    <w:rsid w:val="000E784F"/>
    <w:rsid w:val="000F1FAD"/>
    <w:rsid w:val="000F4D2C"/>
    <w:rsid w:val="00101FCB"/>
    <w:rsid w:val="0010237B"/>
    <w:rsid w:val="001112C7"/>
    <w:rsid w:val="00115625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235"/>
    <w:rsid w:val="00180FC0"/>
    <w:rsid w:val="00186AB2"/>
    <w:rsid w:val="001900C2"/>
    <w:rsid w:val="00191138"/>
    <w:rsid w:val="0019134D"/>
    <w:rsid w:val="00192589"/>
    <w:rsid w:val="001A04DE"/>
    <w:rsid w:val="001A14AD"/>
    <w:rsid w:val="001A64A1"/>
    <w:rsid w:val="001A762A"/>
    <w:rsid w:val="001B38DA"/>
    <w:rsid w:val="001B6CB1"/>
    <w:rsid w:val="001C3DCA"/>
    <w:rsid w:val="001C7A31"/>
    <w:rsid w:val="001C7F11"/>
    <w:rsid w:val="001D207D"/>
    <w:rsid w:val="001E3960"/>
    <w:rsid w:val="001F3AB8"/>
    <w:rsid w:val="001F5154"/>
    <w:rsid w:val="00202B4E"/>
    <w:rsid w:val="00202D86"/>
    <w:rsid w:val="00203AFA"/>
    <w:rsid w:val="002066CC"/>
    <w:rsid w:val="00207A60"/>
    <w:rsid w:val="00211923"/>
    <w:rsid w:val="00212D47"/>
    <w:rsid w:val="002215B7"/>
    <w:rsid w:val="00226F85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46E2"/>
    <w:rsid w:val="002666F2"/>
    <w:rsid w:val="00267AD9"/>
    <w:rsid w:val="0027003D"/>
    <w:rsid w:val="00283CFF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3B2"/>
    <w:rsid w:val="002B7744"/>
    <w:rsid w:val="002B7FC3"/>
    <w:rsid w:val="002C1A03"/>
    <w:rsid w:val="002C4FFF"/>
    <w:rsid w:val="002C76F8"/>
    <w:rsid w:val="002D1C21"/>
    <w:rsid w:val="002D3EDC"/>
    <w:rsid w:val="002E6154"/>
    <w:rsid w:val="002F38CF"/>
    <w:rsid w:val="002F6A89"/>
    <w:rsid w:val="002F7A06"/>
    <w:rsid w:val="00300F15"/>
    <w:rsid w:val="00305A01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12BD"/>
    <w:rsid w:val="00482556"/>
    <w:rsid w:val="004848E7"/>
    <w:rsid w:val="004940F1"/>
    <w:rsid w:val="00497AC0"/>
    <w:rsid w:val="004A07EB"/>
    <w:rsid w:val="004A1334"/>
    <w:rsid w:val="004A1F71"/>
    <w:rsid w:val="004A3508"/>
    <w:rsid w:val="004A623A"/>
    <w:rsid w:val="004A68C6"/>
    <w:rsid w:val="004B48A7"/>
    <w:rsid w:val="004B532A"/>
    <w:rsid w:val="004B6D09"/>
    <w:rsid w:val="004C0962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0690A"/>
    <w:rsid w:val="00512602"/>
    <w:rsid w:val="00512C47"/>
    <w:rsid w:val="005205E4"/>
    <w:rsid w:val="00521F52"/>
    <w:rsid w:val="00524B4C"/>
    <w:rsid w:val="00525008"/>
    <w:rsid w:val="00527468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5D50"/>
    <w:rsid w:val="00646C71"/>
    <w:rsid w:val="006538E0"/>
    <w:rsid w:val="006579C5"/>
    <w:rsid w:val="0066123D"/>
    <w:rsid w:val="006624AC"/>
    <w:rsid w:val="0066463A"/>
    <w:rsid w:val="006657A7"/>
    <w:rsid w:val="00666851"/>
    <w:rsid w:val="00673C79"/>
    <w:rsid w:val="0067602F"/>
    <w:rsid w:val="0068006F"/>
    <w:rsid w:val="00680F75"/>
    <w:rsid w:val="00685C12"/>
    <w:rsid w:val="00685F14"/>
    <w:rsid w:val="00690562"/>
    <w:rsid w:val="00691DF0"/>
    <w:rsid w:val="0069222B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1566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D22FA"/>
    <w:rsid w:val="007E2A1C"/>
    <w:rsid w:val="007E39EB"/>
    <w:rsid w:val="007E4C17"/>
    <w:rsid w:val="007F2BD7"/>
    <w:rsid w:val="00806EFC"/>
    <w:rsid w:val="00810AEF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1275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3D4A"/>
    <w:rsid w:val="008D5DB1"/>
    <w:rsid w:val="008E0114"/>
    <w:rsid w:val="008E1633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B48"/>
    <w:rsid w:val="0097572F"/>
    <w:rsid w:val="0097770A"/>
    <w:rsid w:val="00980C54"/>
    <w:rsid w:val="00981BE7"/>
    <w:rsid w:val="0098700D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AF6333"/>
    <w:rsid w:val="00AF7148"/>
    <w:rsid w:val="00B0225B"/>
    <w:rsid w:val="00B03B2B"/>
    <w:rsid w:val="00B07460"/>
    <w:rsid w:val="00B103C2"/>
    <w:rsid w:val="00B111BA"/>
    <w:rsid w:val="00B12BA8"/>
    <w:rsid w:val="00B15E60"/>
    <w:rsid w:val="00B179CE"/>
    <w:rsid w:val="00B2361E"/>
    <w:rsid w:val="00B244DF"/>
    <w:rsid w:val="00B27439"/>
    <w:rsid w:val="00B306C0"/>
    <w:rsid w:val="00B30841"/>
    <w:rsid w:val="00B31338"/>
    <w:rsid w:val="00B31A94"/>
    <w:rsid w:val="00B32C6C"/>
    <w:rsid w:val="00B42BF8"/>
    <w:rsid w:val="00B470F9"/>
    <w:rsid w:val="00B50041"/>
    <w:rsid w:val="00B5045B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9066D"/>
    <w:rsid w:val="00B90CB9"/>
    <w:rsid w:val="00B91A58"/>
    <w:rsid w:val="00B92FEE"/>
    <w:rsid w:val="00B941C8"/>
    <w:rsid w:val="00B942DA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642A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47CB"/>
    <w:rsid w:val="00D460C5"/>
    <w:rsid w:val="00D5040D"/>
    <w:rsid w:val="00D5746C"/>
    <w:rsid w:val="00D645D1"/>
    <w:rsid w:val="00D649BF"/>
    <w:rsid w:val="00D67231"/>
    <w:rsid w:val="00D72103"/>
    <w:rsid w:val="00D7222D"/>
    <w:rsid w:val="00D746F4"/>
    <w:rsid w:val="00D806C5"/>
    <w:rsid w:val="00D92CA4"/>
    <w:rsid w:val="00DA421C"/>
    <w:rsid w:val="00DB2CB9"/>
    <w:rsid w:val="00DB4758"/>
    <w:rsid w:val="00DB7651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AB9"/>
    <w:rsid w:val="00DF07F4"/>
    <w:rsid w:val="00DF1EA2"/>
    <w:rsid w:val="00E00CA0"/>
    <w:rsid w:val="00E024F6"/>
    <w:rsid w:val="00E03075"/>
    <w:rsid w:val="00E06F36"/>
    <w:rsid w:val="00E12E10"/>
    <w:rsid w:val="00E147E0"/>
    <w:rsid w:val="00E15431"/>
    <w:rsid w:val="00E23861"/>
    <w:rsid w:val="00E274A1"/>
    <w:rsid w:val="00E30B48"/>
    <w:rsid w:val="00E32868"/>
    <w:rsid w:val="00E35427"/>
    <w:rsid w:val="00E366EF"/>
    <w:rsid w:val="00E57CF3"/>
    <w:rsid w:val="00E60CC8"/>
    <w:rsid w:val="00E70CA3"/>
    <w:rsid w:val="00E73131"/>
    <w:rsid w:val="00E74F52"/>
    <w:rsid w:val="00E7526A"/>
    <w:rsid w:val="00E7674E"/>
    <w:rsid w:val="00E860DC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C2C82"/>
    <w:rsid w:val="00ED244C"/>
    <w:rsid w:val="00EF226A"/>
    <w:rsid w:val="00EF3E9E"/>
    <w:rsid w:val="00EF502C"/>
    <w:rsid w:val="00EF5B66"/>
    <w:rsid w:val="00F04AE2"/>
    <w:rsid w:val="00F1471B"/>
    <w:rsid w:val="00F16117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6322"/>
    <w:rsid w:val="00FA07DB"/>
    <w:rsid w:val="00FA2519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1506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2021-01-27T17:24:00Z</cp:lastPrinted>
  <dcterms:created xsi:type="dcterms:W3CDTF">2023-04-04T13:46:00Z</dcterms:created>
  <dcterms:modified xsi:type="dcterms:W3CDTF">2023-04-04T13:52:00Z</dcterms:modified>
</cp:coreProperties>
</file>