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D55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42D55">
        <w:rPr>
          <w:rFonts w:ascii="Times New Roman" w:hAnsi="Times New Roman"/>
          <w:b/>
          <w:bCs/>
          <w:color w:val="000000"/>
          <w:sz w:val="24"/>
          <w:szCs w:val="24"/>
        </w:rPr>
        <w:t>Lekcja 6</w:t>
      </w:r>
      <w:r w:rsidR="00B03101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B03101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B03101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B03101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B03101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B03101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B03101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B03101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B03101">
        <w:rPr>
          <w:rFonts w:ascii="Times New Roman" w:hAnsi="Times New Roman"/>
          <w:b/>
          <w:bCs/>
          <w:color w:val="000000"/>
          <w:sz w:val="24"/>
          <w:szCs w:val="24"/>
        </w:rPr>
        <w:tab/>
        <w:t>5 listopada</w:t>
      </w: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E42D55" w:rsidRPr="00027691" w:rsidRDefault="00E42D55" w:rsidP="00027691">
      <w:pPr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  <w:r w:rsidRPr="00027691">
        <w:rPr>
          <w:rFonts w:ascii="Times New Roman" w:hAnsi="Times New Roman"/>
          <w:b/>
          <w:sz w:val="44"/>
          <w:szCs w:val="44"/>
        </w:rPr>
        <w:t>Przekleństwo bez przyczyny?</w:t>
      </w:r>
    </w:p>
    <w:p w:rsidR="00E42D55" w:rsidRPr="00E42D55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Cs w:val="30"/>
        </w:rPr>
      </w:pP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027691">
        <w:rPr>
          <w:rFonts w:ascii="Times New Roman" w:hAnsi="Times New Roman"/>
          <w:b/>
          <w:bCs/>
          <w:color w:val="000000"/>
          <w:sz w:val="24"/>
          <w:szCs w:val="24"/>
        </w:rPr>
        <w:t xml:space="preserve">Tekst biblijny: </w:t>
      </w:r>
      <w:r w:rsidRPr="00027691">
        <w:rPr>
          <w:rFonts w:ascii="Times New Roman" w:hAnsi="Times New Roman"/>
          <w:iCs/>
          <w:color w:val="000000"/>
          <w:sz w:val="24"/>
          <w:szCs w:val="24"/>
        </w:rPr>
        <w:t>Hi 4,1-21, Mt 7,1.</w:t>
      </w:r>
    </w:p>
    <w:p w:rsidR="00E42D55" w:rsidRPr="00E42D55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30"/>
        </w:rPr>
      </w:pPr>
    </w:p>
    <w:p w:rsidR="00E42D55" w:rsidRPr="00027691" w:rsidRDefault="00027691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027691">
        <w:rPr>
          <w:rFonts w:ascii="Times New Roman" w:hAnsi="Times New Roman"/>
          <w:b/>
          <w:bCs/>
          <w:color w:val="000000"/>
          <w:sz w:val="24"/>
          <w:szCs w:val="24"/>
        </w:rPr>
        <w:t xml:space="preserve">Cele lekcji: </w:t>
      </w:r>
    </w:p>
    <w:p w:rsidR="00E42D55" w:rsidRPr="00027691" w:rsidRDefault="00E42D55" w:rsidP="000276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567" w:firstLine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b/>
          <w:bCs/>
          <w:color w:val="000000"/>
          <w:sz w:val="22"/>
          <w:szCs w:val="22"/>
        </w:rPr>
        <w:t xml:space="preserve">Poznanie: </w:t>
      </w:r>
      <w:r w:rsidRPr="00027691">
        <w:rPr>
          <w:rFonts w:ascii="Times New Roman" w:hAnsi="Times New Roman"/>
          <w:color w:val="000000"/>
          <w:sz w:val="22"/>
          <w:szCs w:val="22"/>
        </w:rPr>
        <w:t>Zrozumienie roli przyjaciół Hioba, którzy przybyli do niego, by towarzyszyć mu w jego cierpieniu.</w:t>
      </w:r>
    </w:p>
    <w:p w:rsidR="00E42D55" w:rsidRPr="00027691" w:rsidRDefault="00E42D55" w:rsidP="000276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567" w:firstLine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b/>
          <w:bCs/>
          <w:color w:val="000000"/>
          <w:sz w:val="22"/>
          <w:szCs w:val="22"/>
        </w:rPr>
        <w:t xml:space="preserve">Odczucie: </w:t>
      </w:r>
      <w:r w:rsidRPr="00027691">
        <w:rPr>
          <w:rFonts w:ascii="Times New Roman" w:hAnsi="Times New Roman"/>
          <w:color w:val="000000"/>
          <w:sz w:val="22"/>
          <w:szCs w:val="22"/>
        </w:rPr>
        <w:t xml:space="preserve">Odczucie bezbronności i frustracji Hioba, jakie odczuwał on, gdy </w:t>
      </w:r>
      <w:proofErr w:type="spellStart"/>
      <w:r w:rsidRPr="00027691">
        <w:rPr>
          <w:rFonts w:ascii="Times New Roman" w:hAnsi="Times New Roman"/>
          <w:color w:val="000000"/>
          <w:sz w:val="22"/>
          <w:szCs w:val="22"/>
        </w:rPr>
        <w:t>Elifaz</w:t>
      </w:r>
      <w:proofErr w:type="spellEnd"/>
      <w:r w:rsidRPr="00027691">
        <w:rPr>
          <w:rFonts w:ascii="Times New Roman" w:hAnsi="Times New Roman"/>
          <w:color w:val="000000"/>
          <w:sz w:val="22"/>
          <w:szCs w:val="22"/>
        </w:rPr>
        <w:t xml:space="preserve"> zaczął mówić o przyczynie jego cierpienia.</w:t>
      </w:r>
    </w:p>
    <w:p w:rsidR="00E42D55" w:rsidRPr="00E42D55" w:rsidRDefault="00E42D55" w:rsidP="000276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567" w:firstLine="0"/>
        <w:rPr>
          <w:rFonts w:ascii="Times New Roman" w:hAnsi="Times New Roman"/>
          <w:color w:val="000000"/>
          <w:szCs w:val="30"/>
        </w:rPr>
      </w:pPr>
      <w:r w:rsidRPr="00027691">
        <w:rPr>
          <w:rFonts w:ascii="Times New Roman" w:hAnsi="Times New Roman"/>
          <w:b/>
          <w:bCs/>
          <w:color w:val="000000"/>
          <w:sz w:val="22"/>
          <w:szCs w:val="22"/>
        </w:rPr>
        <w:t xml:space="preserve">Działanie: </w:t>
      </w:r>
      <w:r w:rsidRPr="00027691">
        <w:rPr>
          <w:rFonts w:ascii="Times New Roman" w:hAnsi="Times New Roman"/>
          <w:color w:val="000000"/>
          <w:sz w:val="22"/>
          <w:szCs w:val="22"/>
        </w:rPr>
        <w:t>Powstrzymanie się od lekkomyślnego osądzania innych przy jednoczesnym nie</w:t>
      </w:r>
      <w:r w:rsidR="00027691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027691">
        <w:rPr>
          <w:rFonts w:ascii="Times New Roman" w:hAnsi="Times New Roman"/>
          <w:color w:val="000000"/>
          <w:sz w:val="22"/>
          <w:szCs w:val="22"/>
        </w:rPr>
        <w:t>zaniedbywaniu biblijnego napominania</w:t>
      </w:r>
      <w:r w:rsidRPr="00E42D55">
        <w:rPr>
          <w:rFonts w:ascii="Times New Roman" w:hAnsi="Times New Roman"/>
          <w:color w:val="000000"/>
          <w:szCs w:val="30"/>
        </w:rPr>
        <w:t>.</w:t>
      </w:r>
    </w:p>
    <w:p w:rsidR="00E42D55" w:rsidRPr="00E42D55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30"/>
        </w:rPr>
      </w:pPr>
    </w:p>
    <w:p w:rsidR="00E42D55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27691">
        <w:rPr>
          <w:rFonts w:ascii="Times New Roman" w:hAnsi="Times New Roman"/>
          <w:b/>
          <w:bCs/>
          <w:color w:val="000000"/>
          <w:sz w:val="28"/>
          <w:szCs w:val="28"/>
        </w:rPr>
        <w:t>Plan nauczania</w:t>
      </w:r>
    </w:p>
    <w:p w:rsidR="00027691" w:rsidRPr="00027691" w:rsidRDefault="00027691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b/>
          <w:bCs/>
          <w:color w:val="000000"/>
          <w:sz w:val="22"/>
          <w:szCs w:val="22"/>
        </w:rPr>
        <w:t>I. Poznanie: Doradzanie w żałobie.</w:t>
      </w: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color w:val="000000"/>
          <w:sz w:val="22"/>
          <w:szCs w:val="22"/>
        </w:rPr>
        <w:t>A. Jak inni reagowali na ciebie w sytuacjach, w których doświadczyłeś cierpienia?</w:t>
      </w:r>
    </w:p>
    <w:p w:rsidR="00E42D55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color w:val="000000"/>
          <w:sz w:val="22"/>
          <w:szCs w:val="22"/>
        </w:rPr>
        <w:t>B. Jakie były najbardziej pomocne reakcje innych osób na twoje cierpienie? Co powinni byli zrobić inaczej?</w:t>
      </w:r>
    </w:p>
    <w:p w:rsidR="00027691" w:rsidRPr="00027691" w:rsidRDefault="00027691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b/>
          <w:bCs/>
          <w:color w:val="000000"/>
          <w:sz w:val="22"/>
          <w:szCs w:val="22"/>
        </w:rPr>
        <w:t xml:space="preserve">II. Odczucie: Mowa </w:t>
      </w:r>
      <w:proofErr w:type="spellStart"/>
      <w:r w:rsidRPr="00027691">
        <w:rPr>
          <w:rFonts w:ascii="Times New Roman" w:hAnsi="Times New Roman"/>
          <w:b/>
          <w:bCs/>
          <w:color w:val="000000"/>
          <w:sz w:val="22"/>
          <w:szCs w:val="22"/>
        </w:rPr>
        <w:t>Elifaza</w:t>
      </w:r>
      <w:proofErr w:type="spellEnd"/>
      <w:r w:rsidRPr="00027691">
        <w:rPr>
          <w:rFonts w:ascii="Times New Roman" w:hAnsi="Times New Roman"/>
          <w:b/>
          <w:bCs/>
          <w:color w:val="000000"/>
          <w:sz w:val="22"/>
          <w:szCs w:val="22"/>
        </w:rPr>
        <w:t>.</w:t>
      </w: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color w:val="000000"/>
          <w:sz w:val="22"/>
          <w:szCs w:val="22"/>
        </w:rPr>
        <w:t xml:space="preserve">A. Na czym polegał błąd </w:t>
      </w:r>
      <w:proofErr w:type="spellStart"/>
      <w:r w:rsidRPr="00027691">
        <w:rPr>
          <w:rFonts w:ascii="Times New Roman" w:hAnsi="Times New Roman"/>
          <w:color w:val="000000"/>
          <w:sz w:val="22"/>
          <w:szCs w:val="22"/>
        </w:rPr>
        <w:t>Elifaza</w:t>
      </w:r>
      <w:proofErr w:type="spellEnd"/>
      <w:r w:rsidRPr="00027691">
        <w:rPr>
          <w:rFonts w:ascii="Times New Roman" w:hAnsi="Times New Roman"/>
          <w:color w:val="000000"/>
          <w:sz w:val="22"/>
          <w:szCs w:val="22"/>
        </w:rPr>
        <w:t xml:space="preserve"> w jego mowie o przyczynach i skutkach grzechu? Dlaczego popełnił on ten błąd?</w:t>
      </w:r>
    </w:p>
    <w:p w:rsidR="00E42D55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color w:val="000000"/>
          <w:sz w:val="22"/>
          <w:szCs w:val="22"/>
        </w:rPr>
        <w:t xml:space="preserve">B. Czego możemy się nauczyć od </w:t>
      </w:r>
      <w:proofErr w:type="spellStart"/>
      <w:r w:rsidRPr="00027691">
        <w:rPr>
          <w:rFonts w:ascii="Times New Roman" w:hAnsi="Times New Roman"/>
          <w:color w:val="000000"/>
          <w:sz w:val="22"/>
          <w:szCs w:val="22"/>
        </w:rPr>
        <w:t>Elifaza</w:t>
      </w:r>
      <w:proofErr w:type="spellEnd"/>
      <w:r w:rsidRPr="00027691">
        <w:rPr>
          <w:rFonts w:ascii="Times New Roman" w:hAnsi="Times New Roman"/>
          <w:color w:val="000000"/>
          <w:sz w:val="22"/>
          <w:szCs w:val="22"/>
        </w:rPr>
        <w:t xml:space="preserve"> (i reakcji Hioba na jego mowę) w kwestii właściwych teologicznych odpowiedzi na cierpienie?</w:t>
      </w:r>
    </w:p>
    <w:p w:rsidR="00027691" w:rsidRPr="00027691" w:rsidRDefault="00027691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b/>
          <w:bCs/>
          <w:color w:val="000000"/>
          <w:sz w:val="22"/>
          <w:szCs w:val="22"/>
        </w:rPr>
        <w:t>III. Działanie: Osądzanie i napominanie.</w:t>
      </w: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color w:val="000000"/>
          <w:sz w:val="22"/>
          <w:szCs w:val="22"/>
        </w:rPr>
        <w:t>A. Jak kategorycznie powinniśmy rozumieć polecenie w Mt 7,1, by nie osądzać innych?</w:t>
      </w:r>
    </w:p>
    <w:p w:rsidR="00E42D55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color w:val="000000"/>
          <w:sz w:val="22"/>
          <w:szCs w:val="22"/>
        </w:rPr>
        <w:t>B. Gdzie umieściłbyś cienką linię dzielącą osądzanie bliźnich od biblijnego pojęcia napominania?</w:t>
      </w:r>
    </w:p>
    <w:p w:rsidR="00027691" w:rsidRPr="00027691" w:rsidRDefault="00027691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b/>
          <w:bCs/>
          <w:color w:val="000000"/>
          <w:sz w:val="22"/>
          <w:szCs w:val="22"/>
        </w:rPr>
        <w:t>Podsumowanie:</w:t>
      </w:r>
      <w:r w:rsidRPr="00027691">
        <w:rPr>
          <w:rFonts w:ascii="Times New Roman" w:hAnsi="Times New Roman"/>
          <w:color w:val="000000"/>
          <w:sz w:val="22"/>
          <w:szCs w:val="22"/>
        </w:rPr>
        <w:t xml:space="preserve"> Choć przybycie przyjaciół Hioba miało w sobie element pocieszenia dla cierpiącego przyjaciela, to jednak gdy zaczęli przemawiać, wówczas ostrożnie, ale niemiłosiernie osądzali Hioba na podstawie tego, co rozumieli jako poprawną teologię. Choć nie wszystko było złe w tej teologii, to jednak była ona wyraźnie wadliwa. Ponadto łatwe odpowiedzi i teologiczne generalizowanie nigdy nie są właściwą reakcją na cierpienie.</w:t>
      </w:r>
    </w:p>
    <w:p w:rsidR="00027691" w:rsidRDefault="00027691">
      <w:pPr>
        <w:spacing w:after="160" w:line="259" w:lineRule="auto"/>
        <w:ind w:firstLine="0"/>
        <w:jc w:val="left"/>
        <w:rPr>
          <w:rFonts w:ascii="Times New Roman" w:hAnsi="Times New Roman"/>
          <w:color w:val="000000"/>
          <w:szCs w:val="30"/>
        </w:rPr>
      </w:pPr>
      <w:r>
        <w:rPr>
          <w:rFonts w:ascii="Times New Roman" w:hAnsi="Times New Roman"/>
          <w:color w:val="000000"/>
          <w:szCs w:val="30"/>
        </w:rPr>
        <w:br w:type="page"/>
      </w: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27691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Cykl nauczania</w:t>
      </w:r>
    </w:p>
    <w:p w:rsidR="00E42D55" w:rsidRPr="00E42D55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Cs w:val="30"/>
        </w:rPr>
      </w:pP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27691">
        <w:rPr>
          <w:rFonts w:ascii="Times New Roman" w:hAnsi="Times New Roman"/>
          <w:b/>
          <w:bCs/>
          <w:color w:val="000000"/>
          <w:sz w:val="24"/>
          <w:szCs w:val="24"/>
        </w:rPr>
        <w:t>Etap 1 - Motywowanie</w:t>
      </w:r>
    </w:p>
    <w:p w:rsidR="00E42D55" w:rsidRPr="00E42D55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30"/>
        </w:rPr>
      </w:pP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b/>
          <w:bCs/>
          <w:color w:val="000000"/>
          <w:sz w:val="22"/>
          <w:szCs w:val="22"/>
        </w:rPr>
        <w:t xml:space="preserve">Tekst biblijny: </w:t>
      </w:r>
      <w:proofErr w:type="spellStart"/>
      <w:r w:rsidRPr="00027691">
        <w:rPr>
          <w:rFonts w:ascii="Times New Roman" w:hAnsi="Times New Roman"/>
          <w:iCs/>
          <w:color w:val="000000"/>
          <w:sz w:val="22"/>
          <w:szCs w:val="22"/>
        </w:rPr>
        <w:t>Ps</w:t>
      </w:r>
      <w:proofErr w:type="spellEnd"/>
      <w:r w:rsidRPr="00027691">
        <w:rPr>
          <w:rFonts w:ascii="Times New Roman" w:hAnsi="Times New Roman"/>
          <w:iCs/>
          <w:color w:val="000000"/>
          <w:sz w:val="22"/>
          <w:szCs w:val="22"/>
        </w:rPr>
        <w:t xml:space="preserve"> 119,65-72.</w:t>
      </w: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E42D55" w:rsidRPr="00027691" w:rsidRDefault="00027691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b/>
          <w:bCs/>
          <w:color w:val="000000"/>
          <w:sz w:val="22"/>
          <w:szCs w:val="22"/>
        </w:rPr>
        <w:t xml:space="preserve">Klucz </w:t>
      </w:r>
      <w:r w:rsidR="00E42D55" w:rsidRPr="00027691">
        <w:rPr>
          <w:rFonts w:ascii="Times New Roman" w:hAnsi="Times New Roman"/>
          <w:b/>
          <w:bCs/>
          <w:color w:val="000000"/>
          <w:sz w:val="22"/>
          <w:szCs w:val="22"/>
        </w:rPr>
        <w:t xml:space="preserve">duchowego rozwoju: </w:t>
      </w:r>
      <w:r w:rsidR="00E42D55" w:rsidRPr="00027691">
        <w:rPr>
          <w:rFonts w:ascii="Times New Roman" w:hAnsi="Times New Roman"/>
          <w:color w:val="000000"/>
          <w:sz w:val="22"/>
          <w:szCs w:val="22"/>
        </w:rPr>
        <w:t xml:space="preserve">Prawdziwy i dobry sąd jest możliwy jedynie dzięki Bożemu pouczeniu (hebr. </w:t>
      </w:r>
      <w:proofErr w:type="spellStart"/>
      <w:r w:rsidR="00E42D55" w:rsidRPr="00027691">
        <w:rPr>
          <w:rFonts w:ascii="Times New Roman" w:hAnsi="Times New Roman"/>
          <w:i/>
          <w:iCs/>
          <w:color w:val="000000"/>
          <w:sz w:val="22"/>
          <w:szCs w:val="22"/>
        </w:rPr>
        <w:t>tora</w:t>
      </w:r>
      <w:proofErr w:type="spellEnd"/>
      <w:r w:rsidR="00E42D55" w:rsidRPr="00027691">
        <w:rPr>
          <w:rFonts w:ascii="Times New Roman" w:hAnsi="Times New Roman"/>
          <w:color w:val="000000"/>
          <w:sz w:val="22"/>
          <w:szCs w:val="22"/>
        </w:rPr>
        <w:t xml:space="preserve">). Psalmista rozumiał tę prawdę i wyraził ją w najdłuższym z trzech psalmów poświęconych </w:t>
      </w:r>
      <w:r w:rsidR="00E42D55" w:rsidRPr="00027691">
        <w:rPr>
          <w:rFonts w:ascii="Times New Roman" w:hAnsi="Times New Roman"/>
          <w:i/>
          <w:iCs/>
          <w:color w:val="000000"/>
          <w:sz w:val="22"/>
          <w:szCs w:val="22"/>
        </w:rPr>
        <w:t>Torze</w:t>
      </w:r>
      <w:r w:rsidR="00E42D55" w:rsidRPr="00027691">
        <w:rPr>
          <w:rFonts w:ascii="Times New Roman" w:hAnsi="Times New Roman"/>
          <w:color w:val="000000"/>
          <w:sz w:val="22"/>
          <w:szCs w:val="22"/>
        </w:rPr>
        <w:t xml:space="preserve"> (</w:t>
      </w:r>
      <w:proofErr w:type="spellStart"/>
      <w:r w:rsidR="00E42D55" w:rsidRPr="00027691">
        <w:rPr>
          <w:rFonts w:ascii="Times New Roman" w:hAnsi="Times New Roman"/>
          <w:color w:val="000000"/>
          <w:sz w:val="22"/>
          <w:szCs w:val="22"/>
        </w:rPr>
        <w:t>Ps</w:t>
      </w:r>
      <w:proofErr w:type="spellEnd"/>
      <w:r w:rsidR="00E42D55" w:rsidRPr="00027691">
        <w:rPr>
          <w:rFonts w:ascii="Times New Roman" w:hAnsi="Times New Roman"/>
          <w:color w:val="000000"/>
          <w:sz w:val="22"/>
          <w:szCs w:val="22"/>
        </w:rPr>
        <w:t xml:space="preserve"> 119,66) znajdujących się w </w:t>
      </w:r>
      <w:r w:rsidR="00E42D55" w:rsidRPr="00027691">
        <w:rPr>
          <w:rFonts w:ascii="Times New Roman" w:hAnsi="Times New Roman"/>
          <w:i/>
          <w:iCs/>
          <w:color w:val="000000"/>
          <w:sz w:val="22"/>
          <w:szCs w:val="22"/>
        </w:rPr>
        <w:t>Księdze Psalmów</w:t>
      </w:r>
      <w:r w:rsidR="00E42D55" w:rsidRPr="00027691">
        <w:rPr>
          <w:rFonts w:ascii="Times New Roman" w:hAnsi="Times New Roman"/>
          <w:color w:val="000000"/>
          <w:sz w:val="22"/>
          <w:szCs w:val="22"/>
        </w:rPr>
        <w:t xml:space="preserve"> (</w:t>
      </w:r>
      <w:proofErr w:type="spellStart"/>
      <w:r w:rsidR="00E42D55" w:rsidRPr="00027691">
        <w:rPr>
          <w:rFonts w:ascii="Times New Roman" w:hAnsi="Times New Roman"/>
          <w:color w:val="000000"/>
          <w:sz w:val="22"/>
          <w:szCs w:val="22"/>
        </w:rPr>
        <w:t>Ps</w:t>
      </w:r>
      <w:proofErr w:type="spellEnd"/>
      <w:r w:rsidR="00E42D55" w:rsidRPr="00027691">
        <w:rPr>
          <w:rFonts w:ascii="Times New Roman" w:hAnsi="Times New Roman"/>
          <w:color w:val="000000"/>
          <w:sz w:val="22"/>
          <w:szCs w:val="22"/>
        </w:rPr>
        <w:t xml:space="preserve"> 1; 19; 119). Czasami prawdziwy osąd jest zdumiewająco nieortodoksyjny z punktu widzenia mądrości świata (1 Kor 3,19). Czy </w:t>
      </w:r>
      <w:proofErr w:type="spellStart"/>
      <w:r w:rsidR="00E42D55" w:rsidRPr="00027691">
        <w:rPr>
          <w:rFonts w:ascii="Times New Roman" w:hAnsi="Times New Roman"/>
          <w:color w:val="000000"/>
          <w:sz w:val="22"/>
          <w:szCs w:val="22"/>
        </w:rPr>
        <w:t>mądrosć</w:t>
      </w:r>
      <w:proofErr w:type="spellEnd"/>
      <w:r w:rsidR="00E42D55" w:rsidRPr="00027691">
        <w:rPr>
          <w:rFonts w:ascii="Times New Roman" w:hAnsi="Times New Roman"/>
          <w:color w:val="000000"/>
          <w:sz w:val="22"/>
          <w:szCs w:val="22"/>
        </w:rPr>
        <w:t xml:space="preserve"> jest nieortodoksyjna, czy konwencjonalna, musimy się upewnić, że stosując ją, nie uzurpujemy sobie roli Boga jako sędziego (jak </w:t>
      </w:r>
      <w:proofErr w:type="spellStart"/>
      <w:r w:rsidR="00E42D55" w:rsidRPr="00027691">
        <w:rPr>
          <w:rFonts w:ascii="Times New Roman" w:hAnsi="Times New Roman"/>
          <w:color w:val="000000"/>
          <w:sz w:val="22"/>
          <w:szCs w:val="22"/>
        </w:rPr>
        <w:t>Elifaz</w:t>
      </w:r>
      <w:proofErr w:type="spellEnd"/>
      <w:r w:rsidR="00E42D55" w:rsidRPr="00027691">
        <w:rPr>
          <w:rFonts w:ascii="Times New Roman" w:hAnsi="Times New Roman"/>
          <w:color w:val="000000"/>
          <w:sz w:val="22"/>
          <w:szCs w:val="22"/>
        </w:rPr>
        <w:t>), gdyż wówczas sami zostaniemy za to osądzeni.</w:t>
      </w: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color w:val="000000"/>
          <w:sz w:val="22"/>
          <w:szCs w:val="22"/>
        </w:rPr>
      </w:pPr>
      <w:r w:rsidRPr="00027691">
        <w:rPr>
          <w:rFonts w:ascii="Times New Roman" w:hAnsi="Times New Roman"/>
          <w:b/>
          <w:bCs/>
          <w:color w:val="000000"/>
          <w:sz w:val="22"/>
          <w:szCs w:val="22"/>
        </w:rPr>
        <w:t xml:space="preserve">Tylko dla nauczyciela: </w:t>
      </w:r>
      <w:r w:rsidRPr="00027691">
        <w:rPr>
          <w:rFonts w:ascii="Times New Roman" w:hAnsi="Times New Roman"/>
          <w:bCs/>
          <w:color w:val="000000"/>
          <w:sz w:val="22"/>
          <w:szCs w:val="22"/>
        </w:rPr>
        <w:t>Kto z nas na widok cierpienia nie próbował znaleźć łatwej odpowiedzi, aby dopatrzyć się sensu w bezsensowności, dać cierpiącym jakąś nadzieję, choćby najbardziej dziwaczną i iluzoryczną? „Być może Bóg pozwolił, by twój syn zginął w wypadku samochodowym, bo wiedział, że później w swoim życiu odwróciłby się od Boga i odszedł z Kościoła?”. Takie myśli brzmią wręcz absurdalnie, gdy myślimy o nich siedząc wygodnie w fotelu i nie dzieje się nic złego, ale pojawiają się nagle w skołatanej głowie w chwili cierpienia i są wypowiadane przez życzliwych sąsiadów, przyjaciół, a nawet bliskich. Przyjaciele Hioba nie byli wyjątkami, więc być może nie powinniśmy ich zbyt pochopnie osądzać, gdyż przecież przybyli, by pocieszyć Hioba.</w:t>
      </w: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color w:val="000000"/>
          <w:sz w:val="22"/>
          <w:szCs w:val="22"/>
        </w:rPr>
      </w:pP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color w:val="000000"/>
          <w:sz w:val="22"/>
          <w:szCs w:val="22"/>
        </w:rPr>
      </w:pPr>
      <w:r w:rsidRPr="00027691">
        <w:rPr>
          <w:rFonts w:ascii="Times New Roman" w:hAnsi="Times New Roman"/>
          <w:b/>
          <w:bCs/>
          <w:color w:val="000000"/>
          <w:sz w:val="22"/>
          <w:szCs w:val="22"/>
        </w:rPr>
        <w:t xml:space="preserve">Otwarcie dyskusji: </w:t>
      </w:r>
      <w:r w:rsidRPr="00027691">
        <w:rPr>
          <w:rFonts w:ascii="Times New Roman" w:hAnsi="Times New Roman"/>
          <w:bCs/>
          <w:color w:val="000000"/>
          <w:sz w:val="22"/>
          <w:szCs w:val="22"/>
        </w:rPr>
        <w:t>Pracując jako misjonarze w pięknej Boliwii, w Ameryce Południowej, pewien misjonarz i jego rodzina otrzymali tragiczną wiadomość. Jego ojciec zginął w wypadku w domu na drugim końcu świata. Po początkowym wstrząsie misjonarz wyszedł z domu, by porozmawiać z administratorami instytucji, w której pracował wówczas wraz ze swoją rodziną. Musiał ich poinformować o swojej stracie i zaplanować podróż do domu, by wziąć udział w pogrzebie ojca i załatwić formalności spadkowe.</w:t>
      </w: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color w:val="000000"/>
          <w:sz w:val="22"/>
          <w:szCs w:val="22"/>
        </w:rPr>
        <w:t>Potem nie pamiętał, co powiedział administratorom. Jedno zapamiętał wyraźnie - chwilę, gdy czterej mężczyźni, w tym on sam, siedzieli razem na ławce w ogrodzie przed budynkiem administracji, płacząc i wyrażając wsparcie. Administratorzy nie kryli łez żalu z powodu jego straty. Przez zasłonę własnych łez i bólu człowiek ten nagle nieco bardziej docenił przyjaciół Hioba. Przybyli z różnych stron, siedzieli z Hiobem siedem dni, płakali i dzielili jego ból nie mówiąc ani słowa (Hi 2,11-13).</w:t>
      </w: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color w:val="000000"/>
          <w:sz w:val="22"/>
          <w:szCs w:val="22"/>
        </w:rPr>
        <w:t>Czego możemy się nauczyć od przyjaciół Hioba w tym momencie historii?</w:t>
      </w:r>
    </w:p>
    <w:p w:rsidR="00E42D55" w:rsidRPr="00E42D55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30"/>
        </w:rPr>
      </w:pP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27691">
        <w:rPr>
          <w:rFonts w:ascii="Times New Roman" w:hAnsi="Times New Roman"/>
          <w:b/>
          <w:bCs/>
          <w:color w:val="000000"/>
          <w:sz w:val="24"/>
          <w:szCs w:val="24"/>
        </w:rPr>
        <w:t>Etap 2 - Badanie</w:t>
      </w:r>
    </w:p>
    <w:p w:rsidR="00E42D55" w:rsidRPr="00E42D55" w:rsidRDefault="00E42D55" w:rsidP="00E42D55">
      <w:pPr>
        <w:tabs>
          <w:tab w:val="left" w:pos="750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Cs w:val="30"/>
        </w:rPr>
      </w:pP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b/>
          <w:bCs/>
          <w:color w:val="000000"/>
          <w:sz w:val="22"/>
          <w:szCs w:val="22"/>
        </w:rPr>
        <w:t xml:space="preserve">Tylko dla nauczyciela: </w:t>
      </w:r>
      <w:r w:rsidRPr="00027691">
        <w:rPr>
          <w:rFonts w:ascii="Times New Roman" w:hAnsi="Times New Roman"/>
          <w:color w:val="000000"/>
          <w:sz w:val="22"/>
          <w:szCs w:val="22"/>
        </w:rPr>
        <w:t xml:space="preserve">Przypuszczalnie łatwo jest podczas tej lekcji krytycznie odnieść się do </w:t>
      </w:r>
      <w:proofErr w:type="spellStart"/>
      <w:r w:rsidRPr="00027691">
        <w:rPr>
          <w:rFonts w:ascii="Times New Roman" w:hAnsi="Times New Roman"/>
          <w:color w:val="000000"/>
          <w:sz w:val="22"/>
          <w:szCs w:val="22"/>
        </w:rPr>
        <w:t>Elifaza</w:t>
      </w:r>
      <w:proofErr w:type="spellEnd"/>
      <w:r w:rsidRPr="00027691">
        <w:rPr>
          <w:rFonts w:ascii="Times New Roman" w:hAnsi="Times New Roman"/>
          <w:color w:val="000000"/>
          <w:sz w:val="22"/>
          <w:szCs w:val="22"/>
        </w:rPr>
        <w:t xml:space="preserve"> i potępić jego niewłaściwą teologię jako pozbawioną serca i oddaloną od miłości Bożej. Jednak wówczas moglibyśmy się znaleźć w takiej samej sytuacji jak </w:t>
      </w:r>
      <w:proofErr w:type="spellStart"/>
      <w:r w:rsidRPr="00027691">
        <w:rPr>
          <w:rFonts w:ascii="Times New Roman" w:hAnsi="Times New Roman"/>
          <w:color w:val="000000"/>
          <w:sz w:val="22"/>
          <w:szCs w:val="22"/>
        </w:rPr>
        <w:t>Elifaz</w:t>
      </w:r>
      <w:proofErr w:type="spellEnd"/>
      <w:r w:rsidRPr="00027691">
        <w:rPr>
          <w:rFonts w:ascii="Times New Roman" w:hAnsi="Times New Roman"/>
          <w:color w:val="000000"/>
          <w:sz w:val="22"/>
          <w:szCs w:val="22"/>
        </w:rPr>
        <w:t xml:space="preserve"> wobec cierpienia Hioba - potępiać </w:t>
      </w:r>
      <w:proofErr w:type="spellStart"/>
      <w:r w:rsidRPr="00027691">
        <w:rPr>
          <w:rFonts w:ascii="Times New Roman" w:hAnsi="Times New Roman"/>
          <w:color w:val="000000"/>
          <w:sz w:val="22"/>
          <w:szCs w:val="22"/>
        </w:rPr>
        <w:t>Elifaza</w:t>
      </w:r>
      <w:proofErr w:type="spellEnd"/>
      <w:r w:rsidRPr="00027691">
        <w:rPr>
          <w:rFonts w:ascii="Times New Roman" w:hAnsi="Times New Roman"/>
          <w:color w:val="000000"/>
          <w:sz w:val="22"/>
          <w:szCs w:val="22"/>
        </w:rPr>
        <w:t xml:space="preserve"> stosownie do schematu właściwej i niewłaściwej teologii, który nie zawsze pasuje do rzeczywistości. Choć powinniśmy wystrzegać się potępiania, jakie </w:t>
      </w:r>
      <w:proofErr w:type="spellStart"/>
      <w:r w:rsidRPr="00027691">
        <w:rPr>
          <w:rFonts w:ascii="Times New Roman" w:hAnsi="Times New Roman"/>
          <w:color w:val="000000"/>
          <w:sz w:val="22"/>
          <w:szCs w:val="22"/>
        </w:rPr>
        <w:t>Elifaz</w:t>
      </w:r>
      <w:proofErr w:type="spellEnd"/>
      <w:r w:rsidRPr="00027691">
        <w:rPr>
          <w:rFonts w:ascii="Times New Roman" w:hAnsi="Times New Roman"/>
          <w:color w:val="000000"/>
          <w:sz w:val="22"/>
          <w:szCs w:val="22"/>
        </w:rPr>
        <w:t xml:space="preserve"> i inni przyjaciele Hioba skierowali na niego, to jednak równie usilnie powinniśmy się wystrzegać potępiania przyjaciół Hioba za ich złą teologię i niemiłosierne podejście do jego cierpienia.</w:t>
      </w: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color w:val="000000"/>
          <w:sz w:val="22"/>
          <w:szCs w:val="22"/>
        </w:rPr>
        <w:t>Ważniejsze jest to, jak jako adwentyści dnia siódmego możemy nieść ulgę cierpiącym wokół nas i znajdować właściwe słowa dla nich.</w:t>
      </w: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027691">
        <w:rPr>
          <w:rFonts w:ascii="Times New Roman" w:hAnsi="Times New Roman"/>
          <w:b/>
          <w:bCs/>
          <w:color w:val="000000"/>
          <w:sz w:val="22"/>
          <w:szCs w:val="22"/>
        </w:rPr>
        <w:t>Komentarz biblijny</w:t>
      </w: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color w:val="000000"/>
          <w:sz w:val="22"/>
          <w:szCs w:val="22"/>
        </w:rPr>
        <w:t xml:space="preserve">Jak właściwie powinniśmy reagować na ludzi, którzy przechodzą przez cierpienie? Jak możemy być współczujący, podobnie jak przyjaciele Hioba, którzy usiedli wraz z Hiobem i przez tydzień wraz </w:t>
      </w:r>
      <w:r w:rsidRPr="00027691">
        <w:rPr>
          <w:rFonts w:ascii="Times New Roman" w:hAnsi="Times New Roman"/>
          <w:color w:val="000000"/>
          <w:sz w:val="22"/>
          <w:szCs w:val="22"/>
        </w:rPr>
        <w:lastRenderedPageBreak/>
        <w:t>z nim byli pogrążeni w żałobie, a jednocześnie jak możemy uniknąć banałów łatwych odpowiedzi w zaskakujących sytuacjach życia? Jak możemy uporać się z własnym cierpieniem z biblijnej perspektywy?</w:t>
      </w: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b/>
          <w:bCs/>
          <w:color w:val="000000"/>
          <w:sz w:val="22"/>
          <w:szCs w:val="22"/>
        </w:rPr>
        <w:t>I. Żałoba</w:t>
      </w:r>
      <w:r w:rsidRPr="00027691">
        <w:rPr>
          <w:rFonts w:ascii="Times New Roman" w:hAnsi="Times New Roman"/>
          <w:color w:val="000000"/>
          <w:sz w:val="22"/>
          <w:szCs w:val="22"/>
        </w:rPr>
        <w:t xml:space="preserve"> (przeczytaj Hi 2,11-13; </w:t>
      </w:r>
      <w:proofErr w:type="spellStart"/>
      <w:r w:rsidRPr="00027691">
        <w:rPr>
          <w:rFonts w:ascii="Times New Roman" w:hAnsi="Times New Roman"/>
          <w:color w:val="000000"/>
          <w:sz w:val="22"/>
          <w:szCs w:val="22"/>
        </w:rPr>
        <w:t>Koh</w:t>
      </w:r>
      <w:proofErr w:type="spellEnd"/>
      <w:r w:rsidRPr="00027691">
        <w:rPr>
          <w:rFonts w:ascii="Times New Roman" w:hAnsi="Times New Roman"/>
          <w:color w:val="000000"/>
          <w:sz w:val="22"/>
          <w:szCs w:val="22"/>
        </w:rPr>
        <w:t xml:space="preserve"> 7,2; </w:t>
      </w:r>
      <w:proofErr w:type="spellStart"/>
      <w:r w:rsidRPr="00027691">
        <w:rPr>
          <w:rFonts w:ascii="Times New Roman" w:hAnsi="Times New Roman"/>
          <w:color w:val="000000"/>
          <w:sz w:val="22"/>
          <w:szCs w:val="22"/>
        </w:rPr>
        <w:t>Ps</w:t>
      </w:r>
      <w:proofErr w:type="spellEnd"/>
      <w:r w:rsidRPr="00027691">
        <w:rPr>
          <w:rFonts w:ascii="Times New Roman" w:hAnsi="Times New Roman"/>
          <w:color w:val="000000"/>
          <w:sz w:val="22"/>
          <w:szCs w:val="22"/>
        </w:rPr>
        <w:t xml:space="preserve"> 30,6).</w:t>
      </w: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color w:val="000000"/>
          <w:sz w:val="22"/>
          <w:szCs w:val="22"/>
        </w:rPr>
        <w:t xml:space="preserve">Przyjaciele Hioba przybyli do niego i siedzieli w milczeniu przez siedem dni, od czego przypuszczalnie pochodzi żydowski rytuał żałobny zwany </w:t>
      </w:r>
      <w:proofErr w:type="spellStart"/>
      <w:r w:rsidRPr="00027691">
        <w:rPr>
          <w:rFonts w:ascii="Times New Roman" w:hAnsi="Times New Roman"/>
          <w:i/>
          <w:iCs/>
          <w:color w:val="000000"/>
          <w:sz w:val="22"/>
          <w:szCs w:val="22"/>
        </w:rPr>
        <w:t>sziwa</w:t>
      </w:r>
      <w:proofErr w:type="spellEnd"/>
      <w:r w:rsidRPr="00027691">
        <w:rPr>
          <w:rFonts w:ascii="Times New Roman" w:hAnsi="Times New Roman"/>
          <w:color w:val="000000"/>
          <w:sz w:val="22"/>
          <w:szCs w:val="22"/>
        </w:rPr>
        <w:t xml:space="preserve"> (siedem). Rytuał ten polega na wyrażaniu współczucia przez przesiadywanie w domu zmarłego w ciągu siedmiu dni po pogrzebie. Ciekawe, że to Hiob przerwał milczenie jako pierwszy pod koniec siedmiu dni, starając się uporać ze swoim żalem.</w:t>
      </w: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color w:val="000000"/>
          <w:sz w:val="22"/>
          <w:szCs w:val="22"/>
        </w:rPr>
        <w:t>Istnieją pewne wspólne mianowniki w tym, jak my jako ludzie radzimy sobie z żalem. Jako chrześcijanie możemy pomagać innym (a czasami także samym sobie) pamiętając o następujących krokach:</w:t>
      </w: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color w:val="000000"/>
          <w:sz w:val="22"/>
          <w:szCs w:val="22"/>
        </w:rPr>
        <w:t>(1) Przyczyna naszego bólu musi zostać zaakceptowana jako rzeczywistość. Ludzki umysł ma skłonność zamykać drzwi na to, czego nie lubimy, w nadziei, że w ten sposób jakoś to zniknie. Jeśli chcesz się uporać ze swoim bólem i cierpieniem, pierwszym krokiem jest zaakceptowanie ich jako rzeczywistości.</w:t>
      </w: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color w:val="000000"/>
          <w:sz w:val="22"/>
          <w:szCs w:val="22"/>
        </w:rPr>
        <w:t xml:space="preserve">(2) Drugim krokiem w „procesie żałoby” jest gotowość rzeczywistego cierpienia bólu i straty. Nikt nie lubi cierpieć. Ludzki instynkt podpowiada, by unikać bólu. Jednak jeśli chcemy zmierzać ku wewnętrznemu uzdrowieniu, musimy być gotowi iść doliną cienia śmierci, jak wyraża to </w:t>
      </w:r>
      <w:proofErr w:type="spellStart"/>
      <w:r w:rsidRPr="00027691">
        <w:rPr>
          <w:rFonts w:ascii="Times New Roman" w:hAnsi="Times New Roman"/>
          <w:color w:val="000000"/>
          <w:sz w:val="22"/>
          <w:szCs w:val="22"/>
        </w:rPr>
        <w:t>Ps</w:t>
      </w:r>
      <w:proofErr w:type="spellEnd"/>
      <w:r w:rsidRPr="00027691">
        <w:rPr>
          <w:rFonts w:ascii="Times New Roman" w:hAnsi="Times New Roman"/>
          <w:color w:val="000000"/>
          <w:sz w:val="22"/>
          <w:szCs w:val="22"/>
        </w:rPr>
        <w:t xml:space="preserve"> 23,4. Bólowi należy się przeciwstawić i wyrazić go.</w:t>
      </w: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color w:val="000000"/>
          <w:sz w:val="22"/>
          <w:szCs w:val="22"/>
        </w:rPr>
        <w:t>(3) Jeśli pragniesz przetworzyć twój ból, musisz powrócić do życia. Jeśli zmarł twój współmałżonek czy dziecko, być może będziesz chciał wrócić do miejsc, w których bywaliście razem. Nie jest zdrowe prowadzenie życia tak, jakbyś chciał zapomnieć o wszystkim, co przypomina ci o zmarłej bliskiej osobie. Pójście na spacer plażą, którą chadzaliście razem, może być bolesnym doświadczeniem, ale może też rozpocząć coś nowego. Czasami spędzamy tyle czasu uważnie kształtując nasze wspomnienia i napełniając nasze życie nimi, iż nie mamy miejsca na nowe życie. Wspomnienia są dobre i ważne, ale życie toczy się dalej. Nasze życie nie powinno być zakurzonym muzeum fotografii zmarłych osób.</w:t>
      </w: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color w:val="000000"/>
          <w:sz w:val="22"/>
          <w:szCs w:val="22"/>
        </w:rPr>
        <w:t>(4) Ostatni krok to pożegnanie się ze zmarłym bliskim. Czy straciłeś współmałżonka, czy dziecko, czy pracę, czy ukochane zwierzę - ból straty występuje na wszystkich poziomach. Jednak musimy dojść do punktu, w którym świadomie mówimy: „Żegnaj”.</w:t>
      </w: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b/>
          <w:bCs/>
          <w:color w:val="000000"/>
          <w:sz w:val="22"/>
          <w:szCs w:val="22"/>
        </w:rPr>
        <w:t xml:space="preserve">Do rozważenia: </w:t>
      </w:r>
      <w:r w:rsidRPr="00027691">
        <w:rPr>
          <w:rFonts w:ascii="Times New Roman" w:hAnsi="Times New Roman"/>
          <w:color w:val="000000"/>
          <w:sz w:val="22"/>
          <w:szCs w:val="22"/>
        </w:rPr>
        <w:t>Jakiej pomocy doznałeś w procesie żałoby stosownie do powyższych czterech kroków?</w:t>
      </w: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b/>
          <w:bCs/>
          <w:color w:val="000000"/>
          <w:sz w:val="22"/>
          <w:szCs w:val="22"/>
        </w:rPr>
        <w:t xml:space="preserve">II. </w:t>
      </w:r>
      <w:proofErr w:type="spellStart"/>
      <w:r w:rsidRPr="00027691">
        <w:rPr>
          <w:rFonts w:ascii="Times New Roman" w:hAnsi="Times New Roman"/>
          <w:b/>
          <w:bCs/>
          <w:color w:val="000000"/>
          <w:sz w:val="22"/>
          <w:szCs w:val="22"/>
        </w:rPr>
        <w:t>Elifaz</w:t>
      </w:r>
      <w:proofErr w:type="spellEnd"/>
      <w:r w:rsidRPr="00027691">
        <w:rPr>
          <w:rFonts w:ascii="Times New Roman" w:hAnsi="Times New Roman"/>
          <w:b/>
          <w:bCs/>
          <w:color w:val="000000"/>
          <w:sz w:val="22"/>
          <w:szCs w:val="22"/>
        </w:rPr>
        <w:t xml:space="preserve"> przemawia</w:t>
      </w:r>
      <w:r w:rsidRPr="00027691">
        <w:rPr>
          <w:rFonts w:ascii="Times New Roman" w:hAnsi="Times New Roman"/>
          <w:color w:val="000000"/>
          <w:sz w:val="22"/>
          <w:szCs w:val="22"/>
        </w:rPr>
        <w:t xml:space="preserve"> (przeczytaj Hi 4—5).</w:t>
      </w: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color w:val="000000"/>
          <w:sz w:val="22"/>
          <w:szCs w:val="22"/>
        </w:rPr>
        <w:t xml:space="preserve">Jako pierwszy na narzekania Hioba w rozdziale 3 odpowiada </w:t>
      </w:r>
      <w:proofErr w:type="spellStart"/>
      <w:r w:rsidRPr="00027691">
        <w:rPr>
          <w:rFonts w:ascii="Times New Roman" w:hAnsi="Times New Roman"/>
          <w:color w:val="000000"/>
          <w:sz w:val="22"/>
          <w:szCs w:val="22"/>
        </w:rPr>
        <w:t>Elifaz</w:t>
      </w:r>
      <w:proofErr w:type="spellEnd"/>
      <w:r w:rsidRPr="00027691">
        <w:rPr>
          <w:rFonts w:ascii="Times New Roman" w:hAnsi="Times New Roman"/>
          <w:color w:val="000000"/>
          <w:sz w:val="22"/>
          <w:szCs w:val="22"/>
        </w:rPr>
        <w:t xml:space="preserve"> z </w:t>
      </w:r>
      <w:proofErr w:type="spellStart"/>
      <w:r w:rsidRPr="00027691">
        <w:rPr>
          <w:rFonts w:ascii="Times New Roman" w:hAnsi="Times New Roman"/>
          <w:color w:val="000000"/>
          <w:sz w:val="22"/>
          <w:szCs w:val="22"/>
        </w:rPr>
        <w:t>Temanu</w:t>
      </w:r>
      <w:proofErr w:type="spellEnd"/>
      <w:r w:rsidRPr="00027691">
        <w:rPr>
          <w:rFonts w:ascii="Times New Roman" w:hAnsi="Times New Roman"/>
          <w:color w:val="000000"/>
          <w:sz w:val="22"/>
          <w:szCs w:val="22"/>
        </w:rPr>
        <w:t xml:space="preserve"> (miejscowości w Edomie - zob. Rdz 36,11; </w:t>
      </w:r>
      <w:proofErr w:type="spellStart"/>
      <w:r w:rsidRPr="00027691">
        <w:rPr>
          <w:rFonts w:ascii="Times New Roman" w:hAnsi="Times New Roman"/>
          <w:color w:val="000000"/>
          <w:sz w:val="22"/>
          <w:szCs w:val="22"/>
        </w:rPr>
        <w:t>Teman</w:t>
      </w:r>
      <w:proofErr w:type="spellEnd"/>
      <w:r w:rsidRPr="00027691">
        <w:rPr>
          <w:rFonts w:ascii="Times New Roman" w:hAnsi="Times New Roman"/>
          <w:color w:val="000000"/>
          <w:sz w:val="22"/>
          <w:szCs w:val="22"/>
        </w:rPr>
        <w:t xml:space="preserve"> był potomkiem </w:t>
      </w:r>
      <w:proofErr w:type="spellStart"/>
      <w:r w:rsidRPr="00027691">
        <w:rPr>
          <w:rFonts w:ascii="Times New Roman" w:hAnsi="Times New Roman"/>
          <w:color w:val="000000"/>
          <w:sz w:val="22"/>
          <w:szCs w:val="22"/>
        </w:rPr>
        <w:t>Elifaza</w:t>
      </w:r>
      <w:proofErr w:type="spellEnd"/>
      <w:r w:rsidRPr="00027691">
        <w:rPr>
          <w:rFonts w:ascii="Times New Roman" w:hAnsi="Times New Roman"/>
          <w:color w:val="000000"/>
          <w:sz w:val="22"/>
          <w:szCs w:val="22"/>
        </w:rPr>
        <w:t xml:space="preserve"> z rodu </w:t>
      </w:r>
      <w:proofErr w:type="spellStart"/>
      <w:r w:rsidRPr="00027691">
        <w:rPr>
          <w:rFonts w:ascii="Times New Roman" w:hAnsi="Times New Roman"/>
          <w:color w:val="000000"/>
          <w:sz w:val="22"/>
          <w:szCs w:val="22"/>
        </w:rPr>
        <w:t>Ezawa</w:t>
      </w:r>
      <w:proofErr w:type="spellEnd"/>
      <w:r w:rsidRPr="00027691">
        <w:rPr>
          <w:rFonts w:ascii="Times New Roman" w:hAnsi="Times New Roman"/>
          <w:color w:val="000000"/>
          <w:sz w:val="22"/>
          <w:szCs w:val="22"/>
        </w:rPr>
        <w:t xml:space="preserve">). Gdy </w:t>
      </w:r>
      <w:proofErr w:type="spellStart"/>
      <w:r w:rsidRPr="00027691">
        <w:rPr>
          <w:rFonts w:ascii="Times New Roman" w:hAnsi="Times New Roman"/>
          <w:color w:val="000000"/>
          <w:sz w:val="22"/>
          <w:szCs w:val="22"/>
        </w:rPr>
        <w:t>Elifaz</w:t>
      </w:r>
      <w:proofErr w:type="spellEnd"/>
      <w:r w:rsidRPr="00027691">
        <w:rPr>
          <w:rFonts w:ascii="Times New Roman" w:hAnsi="Times New Roman"/>
          <w:color w:val="000000"/>
          <w:sz w:val="22"/>
          <w:szCs w:val="22"/>
        </w:rPr>
        <w:t xml:space="preserve"> zabrał głos, nie trzeba było długo słuchać, by przekonać się, że lepiej by zrobił, gdyby nadal milczał. Niestety, mówił dalej. Jego słowa (Hi 4—5) są naznaczone teologią odpłaty, jako że </w:t>
      </w:r>
      <w:proofErr w:type="spellStart"/>
      <w:r w:rsidRPr="00027691">
        <w:rPr>
          <w:rFonts w:ascii="Times New Roman" w:hAnsi="Times New Roman"/>
          <w:color w:val="000000"/>
          <w:sz w:val="22"/>
          <w:szCs w:val="22"/>
        </w:rPr>
        <w:t>Elifaz</w:t>
      </w:r>
      <w:proofErr w:type="spellEnd"/>
      <w:r w:rsidRPr="00027691">
        <w:rPr>
          <w:rFonts w:ascii="Times New Roman" w:hAnsi="Times New Roman"/>
          <w:color w:val="000000"/>
          <w:sz w:val="22"/>
          <w:szCs w:val="22"/>
        </w:rPr>
        <w:t xml:space="preserve"> próbuje wskazać bezpośredni związek z domniemanym grzechem </w:t>
      </w:r>
      <w:proofErr w:type="spellStart"/>
      <w:r w:rsidRPr="00027691">
        <w:rPr>
          <w:rFonts w:ascii="Times New Roman" w:hAnsi="Times New Roman"/>
          <w:color w:val="000000"/>
          <w:sz w:val="22"/>
          <w:szCs w:val="22"/>
        </w:rPr>
        <w:t>Elifaza</w:t>
      </w:r>
      <w:proofErr w:type="spellEnd"/>
      <w:r w:rsidRPr="00027691">
        <w:rPr>
          <w:rFonts w:ascii="Times New Roman" w:hAnsi="Times New Roman"/>
          <w:color w:val="000000"/>
          <w:sz w:val="22"/>
          <w:szCs w:val="22"/>
        </w:rPr>
        <w:t xml:space="preserve"> a karą Bożą, która go spotkała. Swoje twierdzenia stara się przedstawić w najlepszym świetle, chwaląc Hioba za to, że wcześniej był skutecznym doradcą dla innych (Hi 4,1-4). Ale </w:t>
      </w:r>
      <w:proofErr w:type="spellStart"/>
      <w:r w:rsidRPr="00027691">
        <w:rPr>
          <w:rFonts w:ascii="Times New Roman" w:hAnsi="Times New Roman"/>
          <w:color w:val="000000"/>
          <w:sz w:val="22"/>
          <w:szCs w:val="22"/>
        </w:rPr>
        <w:t>Elifaz</w:t>
      </w:r>
      <w:proofErr w:type="spellEnd"/>
      <w:r w:rsidRPr="00027691">
        <w:rPr>
          <w:rFonts w:ascii="Times New Roman" w:hAnsi="Times New Roman"/>
          <w:color w:val="000000"/>
          <w:sz w:val="22"/>
          <w:szCs w:val="22"/>
        </w:rPr>
        <w:t xml:space="preserve"> zmienia ton swojej wypowiedzi w wersecie 5 („A gdy to obecnie na ciebie spadło”), podkreślając, że niewinnych nigdy nie spotyka zguba (Hi 4,7-8). </w:t>
      </w:r>
      <w:proofErr w:type="spellStart"/>
      <w:r w:rsidRPr="00027691">
        <w:rPr>
          <w:rFonts w:ascii="Times New Roman" w:hAnsi="Times New Roman"/>
          <w:color w:val="000000"/>
          <w:sz w:val="22"/>
          <w:szCs w:val="22"/>
        </w:rPr>
        <w:t>Elifaz</w:t>
      </w:r>
      <w:proofErr w:type="spellEnd"/>
      <w:r w:rsidRPr="00027691">
        <w:rPr>
          <w:rFonts w:ascii="Times New Roman" w:hAnsi="Times New Roman"/>
          <w:color w:val="000000"/>
          <w:sz w:val="22"/>
          <w:szCs w:val="22"/>
        </w:rPr>
        <w:t xml:space="preserve"> popiera to twierdzenie własnymi obserwacjami, ale także tajemnym Bożym objawieniem, które stało się jego udziałem w jakimś dziwnie opisanym śnie (Hi 4,12-16), dość subiektywnym źródle informacji.</w:t>
      </w: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color w:val="000000"/>
          <w:sz w:val="22"/>
          <w:szCs w:val="22"/>
        </w:rPr>
        <w:t xml:space="preserve">W następnym rozdziale </w:t>
      </w:r>
      <w:proofErr w:type="spellStart"/>
      <w:r w:rsidRPr="00027691">
        <w:rPr>
          <w:rFonts w:ascii="Times New Roman" w:hAnsi="Times New Roman"/>
          <w:color w:val="000000"/>
          <w:sz w:val="22"/>
          <w:szCs w:val="22"/>
        </w:rPr>
        <w:t>Elifaz</w:t>
      </w:r>
      <w:proofErr w:type="spellEnd"/>
      <w:r w:rsidRPr="00027691">
        <w:rPr>
          <w:rFonts w:ascii="Times New Roman" w:hAnsi="Times New Roman"/>
          <w:color w:val="000000"/>
          <w:sz w:val="22"/>
          <w:szCs w:val="22"/>
        </w:rPr>
        <w:t xml:space="preserve"> dochodzi do sedna, wysnuwając wniosek, że Hiob musiał zrobić coś głupiego (Hi 5,1-5) i apelując do Hioba, by nawrócił się do Boga (Hi 5,8), okazał skruchę i szukał znowu Bożej przychylności (Hi 5,11-18). Problem polega na tym, że choć istnieje biblijny związek między posłuszeństwem i błogosławieństwami (albo nieposłuszeństwem i przekleństwami), to jednak </w:t>
      </w:r>
      <w:r w:rsidRPr="00027691">
        <w:rPr>
          <w:rFonts w:ascii="Times New Roman" w:hAnsi="Times New Roman"/>
          <w:color w:val="000000"/>
          <w:sz w:val="22"/>
          <w:szCs w:val="22"/>
        </w:rPr>
        <w:lastRenderedPageBreak/>
        <w:t xml:space="preserve">w większości przypadków sytuacja jest bardziej złożona i nie sposób ją skutecznie przeanalizować jedynie na podstawie ludzkich obserwacji. Naszym obowiązkiem jest więc podwiązywanie nadłamanych trzcin, a nie ich dołamywanie (Iz 42,3), a </w:t>
      </w:r>
      <w:proofErr w:type="spellStart"/>
      <w:r w:rsidRPr="00027691">
        <w:rPr>
          <w:rFonts w:ascii="Times New Roman" w:hAnsi="Times New Roman"/>
          <w:color w:val="000000"/>
          <w:sz w:val="22"/>
          <w:szCs w:val="22"/>
        </w:rPr>
        <w:t>Elifaz</w:t>
      </w:r>
      <w:proofErr w:type="spellEnd"/>
      <w:r w:rsidRPr="00027691">
        <w:rPr>
          <w:rFonts w:ascii="Times New Roman" w:hAnsi="Times New Roman"/>
          <w:color w:val="000000"/>
          <w:sz w:val="22"/>
          <w:szCs w:val="22"/>
        </w:rPr>
        <w:t xml:space="preserve"> wyraźnie ten obowiązek zaniedbał.</w:t>
      </w: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b/>
          <w:bCs/>
          <w:color w:val="000000"/>
          <w:sz w:val="22"/>
          <w:szCs w:val="22"/>
        </w:rPr>
        <w:t xml:space="preserve">Do rozważenia: </w:t>
      </w:r>
      <w:r w:rsidRPr="00027691">
        <w:rPr>
          <w:rFonts w:ascii="Times New Roman" w:hAnsi="Times New Roman"/>
          <w:color w:val="000000"/>
          <w:sz w:val="22"/>
          <w:szCs w:val="22"/>
        </w:rPr>
        <w:t xml:space="preserve">Dlaczego tak łatwo jest popadać w argumentację podobną do tej, jakiej użył </w:t>
      </w:r>
      <w:proofErr w:type="spellStart"/>
      <w:r w:rsidRPr="00027691">
        <w:rPr>
          <w:rFonts w:ascii="Times New Roman" w:hAnsi="Times New Roman"/>
          <w:color w:val="000000"/>
          <w:sz w:val="22"/>
          <w:szCs w:val="22"/>
        </w:rPr>
        <w:t>Elifaz</w:t>
      </w:r>
      <w:proofErr w:type="spellEnd"/>
      <w:r w:rsidRPr="00027691">
        <w:rPr>
          <w:rFonts w:ascii="Times New Roman" w:hAnsi="Times New Roman"/>
          <w:color w:val="000000"/>
          <w:sz w:val="22"/>
          <w:szCs w:val="22"/>
        </w:rPr>
        <w:t xml:space="preserve"> w swojej mowie?</w:t>
      </w: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b/>
          <w:bCs/>
          <w:color w:val="000000"/>
          <w:sz w:val="22"/>
          <w:szCs w:val="22"/>
        </w:rPr>
        <w:t>III. Osądzanie i napominanie</w:t>
      </w:r>
      <w:r w:rsidRPr="00027691">
        <w:rPr>
          <w:rFonts w:ascii="Times New Roman" w:hAnsi="Times New Roman"/>
          <w:color w:val="000000"/>
          <w:sz w:val="22"/>
          <w:szCs w:val="22"/>
        </w:rPr>
        <w:t xml:space="preserve"> (przeczytaj Mt 7,1-2; </w:t>
      </w:r>
      <w:proofErr w:type="spellStart"/>
      <w:r w:rsidRPr="00027691">
        <w:rPr>
          <w:rFonts w:ascii="Times New Roman" w:hAnsi="Times New Roman"/>
          <w:color w:val="000000"/>
          <w:sz w:val="22"/>
          <w:szCs w:val="22"/>
        </w:rPr>
        <w:t>Rz</w:t>
      </w:r>
      <w:proofErr w:type="spellEnd"/>
      <w:r w:rsidRPr="00027691">
        <w:rPr>
          <w:rFonts w:ascii="Times New Roman" w:hAnsi="Times New Roman"/>
          <w:color w:val="000000"/>
          <w:sz w:val="22"/>
          <w:szCs w:val="22"/>
        </w:rPr>
        <w:t xml:space="preserve"> 3,19; </w:t>
      </w:r>
      <w:proofErr w:type="spellStart"/>
      <w:r w:rsidRPr="00027691">
        <w:rPr>
          <w:rFonts w:ascii="Times New Roman" w:hAnsi="Times New Roman"/>
          <w:color w:val="000000"/>
          <w:sz w:val="22"/>
          <w:szCs w:val="22"/>
        </w:rPr>
        <w:t>Hbr</w:t>
      </w:r>
      <w:proofErr w:type="spellEnd"/>
      <w:r w:rsidRPr="00027691">
        <w:rPr>
          <w:rFonts w:ascii="Times New Roman" w:hAnsi="Times New Roman"/>
          <w:color w:val="000000"/>
          <w:sz w:val="22"/>
          <w:szCs w:val="22"/>
        </w:rPr>
        <w:t xml:space="preserve"> 12,5).</w:t>
      </w: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color w:val="000000"/>
          <w:sz w:val="22"/>
          <w:szCs w:val="22"/>
        </w:rPr>
        <w:t xml:space="preserve">Wielu komentatorów wskazuje wyraźną sprzeczność między kategorycznym stwierdzeniem w Mt 7,1 („Nie sądźcie”; por. także </w:t>
      </w:r>
      <w:proofErr w:type="spellStart"/>
      <w:r w:rsidRPr="00027691">
        <w:rPr>
          <w:rFonts w:ascii="Times New Roman" w:hAnsi="Times New Roman"/>
          <w:color w:val="000000"/>
          <w:sz w:val="22"/>
          <w:szCs w:val="22"/>
        </w:rPr>
        <w:t>Rz</w:t>
      </w:r>
      <w:proofErr w:type="spellEnd"/>
      <w:r w:rsidRPr="00027691">
        <w:rPr>
          <w:rFonts w:ascii="Times New Roman" w:hAnsi="Times New Roman"/>
          <w:color w:val="000000"/>
          <w:sz w:val="22"/>
          <w:szCs w:val="22"/>
        </w:rPr>
        <w:t xml:space="preserve"> 2,1; 14,10.13; </w:t>
      </w:r>
      <w:proofErr w:type="spellStart"/>
      <w:r w:rsidRPr="00027691">
        <w:rPr>
          <w:rFonts w:ascii="Times New Roman" w:hAnsi="Times New Roman"/>
          <w:color w:val="000000"/>
          <w:sz w:val="22"/>
          <w:szCs w:val="22"/>
        </w:rPr>
        <w:t>Jk</w:t>
      </w:r>
      <w:proofErr w:type="spellEnd"/>
      <w:r w:rsidRPr="00027691">
        <w:rPr>
          <w:rFonts w:ascii="Times New Roman" w:hAnsi="Times New Roman"/>
          <w:color w:val="000000"/>
          <w:sz w:val="22"/>
          <w:szCs w:val="22"/>
        </w:rPr>
        <w:t xml:space="preserve"> 4,11-12; 1 Kor 4,5) a innymi stwierdzeniami w </w:t>
      </w:r>
      <w:r w:rsidRPr="00027691">
        <w:rPr>
          <w:rFonts w:ascii="Times New Roman" w:hAnsi="Times New Roman"/>
          <w:i/>
          <w:iCs/>
          <w:color w:val="000000"/>
          <w:sz w:val="22"/>
          <w:szCs w:val="22"/>
        </w:rPr>
        <w:t>Biblii</w:t>
      </w:r>
      <w:r w:rsidRPr="00027691">
        <w:rPr>
          <w:rFonts w:ascii="Times New Roman" w:hAnsi="Times New Roman"/>
          <w:color w:val="000000"/>
          <w:sz w:val="22"/>
          <w:szCs w:val="22"/>
        </w:rPr>
        <w:t xml:space="preserve">, które wydają się zachęcać do osądzania (np. 1 Kor 2,15; 5,12-13; 6,1-4). Kontekst odgrywa ważną rolę w wyjaśnianiu takich napięć - choć </w:t>
      </w:r>
      <w:r w:rsidRPr="00027691">
        <w:rPr>
          <w:rFonts w:ascii="Times New Roman" w:hAnsi="Times New Roman"/>
          <w:i/>
          <w:iCs/>
          <w:color w:val="000000"/>
          <w:sz w:val="22"/>
          <w:szCs w:val="22"/>
        </w:rPr>
        <w:t>Biblia</w:t>
      </w:r>
      <w:r w:rsidRPr="00027691">
        <w:rPr>
          <w:rFonts w:ascii="Times New Roman" w:hAnsi="Times New Roman"/>
          <w:color w:val="000000"/>
          <w:sz w:val="22"/>
          <w:szCs w:val="22"/>
        </w:rPr>
        <w:t xml:space="preserve"> wyraźnie zakazuje sądzenia opartego na ludzkiej tradycji i obłudnych postawach, to jednak zachęca do sądzenia zgodnie z Bożymi standardami i Słowem Bożym (J 7,24), ale zawsze w miłości.</w:t>
      </w: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b/>
          <w:bCs/>
          <w:color w:val="000000"/>
          <w:sz w:val="22"/>
          <w:szCs w:val="22"/>
        </w:rPr>
        <w:t xml:space="preserve">Do rozważenia: </w:t>
      </w:r>
      <w:r w:rsidRPr="00027691">
        <w:rPr>
          <w:rFonts w:ascii="Times New Roman" w:hAnsi="Times New Roman"/>
          <w:color w:val="000000"/>
          <w:sz w:val="22"/>
          <w:szCs w:val="22"/>
        </w:rPr>
        <w:t>Jakie jest miejsce biblijnego napominania w chrześcijańskim życiu?</w:t>
      </w:r>
    </w:p>
    <w:p w:rsidR="00E42D55" w:rsidRPr="00E42D55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30"/>
        </w:rPr>
      </w:pP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27691">
        <w:rPr>
          <w:rFonts w:ascii="Times New Roman" w:hAnsi="Times New Roman"/>
          <w:b/>
          <w:bCs/>
          <w:color w:val="000000"/>
          <w:sz w:val="24"/>
          <w:szCs w:val="24"/>
        </w:rPr>
        <w:t>Etap 3 - Zastosowanie</w:t>
      </w:r>
    </w:p>
    <w:p w:rsidR="00E42D55" w:rsidRPr="00E42D55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Cs w:val="30"/>
        </w:rPr>
      </w:pP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b/>
          <w:bCs/>
          <w:color w:val="000000"/>
          <w:sz w:val="22"/>
          <w:szCs w:val="22"/>
        </w:rPr>
        <w:t xml:space="preserve">Tylko dla nauczyciela: </w:t>
      </w:r>
      <w:r w:rsidRPr="00027691">
        <w:rPr>
          <w:rFonts w:ascii="Times New Roman" w:hAnsi="Times New Roman"/>
          <w:color w:val="000000"/>
          <w:sz w:val="22"/>
          <w:szCs w:val="22"/>
        </w:rPr>
        <w:t xml:space="preserve">Wydaje się nam naturalne kojarzenie cierpienia z grzechem. Często dokonujemy takiego skojarzenia w oparciu o subiektywne źródła podobne do tych, na jakich </w:t>
      </w:r>
      <w:proofErr w:type="spellStart"/>
      <w:r w:rsidRPr="00027691">
        <w:rPr>
          <w:rFonts w:ascii="Times New Roman" w:hAnsi="Times New Roman"/>
          <w:color w:val="000000"/>
          <w:sz w:val="22"/>
          <w:szCs w:val="22"/>
        </w:rPr>
        <w:t>Elifaz</w:t>
      </w:r>
      <w:proofErr w:type="spellEnd"/>
      <w:r w:rsidRPr="00027691">
        <w:rPr>
          <w:rFonts w:ascii="Times New Roman" w:hAnsi="Times New Roman"/>
          <w:color w:val="000000"/>
          <w:sz w:val="22"/>
          <w:szCs w:val="22"/>
        </w:rPr>
        <w:t xml:space="preserve"> opierał swoją opinię.</w:t>
      </w: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027691">
        <w:rPr>
          <w:rFonts w:ascii="Times New Roman" w:hAnsi="Times New Roman"/>
          <w:b/>
          <w:bCs/>
          <w:color w:val="000000"/>
          <w:sz w:val="22"/>
          <w:szCs w:val="22"/>
        </w:rPr>
        <w:t>Pytania do przemyślenia i zastosowania</w:t>
      </w: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color w:val="000000"/>
          <w:sz w:val="22"/>
          <w:szCs w:val="22"/>
        </w:rPr>
        <w:t xml:space="preserve">1. Kiedy mówimy innym o charakterze Boga, jakiego źródła argumentów używamy? Czy nasze argumenty bywają oparte na czymś poza </w:t>
      </w:r>
      <w:r w:rsidRPr="00027691">
        <w:rPr>
          <w:rFonts w:ascii="Times New Roman" w:hAnsi="Times New Roman"/>
          <w:i/>
          <w:iCs/>
          <w:color w:val="000000"/>
          <w:sz w:val="22"/>
          <w:szCs w:val="22"/>
        </w:rPr>
        <w:t>Biblią</w:t>
      </w:r>
      <w:r w:rsidRPr="00027691">
        <w:rPr>
          <w:rFonts w:ascii="Times New Roman" w:hAnsi="Times New Roman"/>
          <w:color w:val="000000"/>
          <w:sz w:val="22"/>
          <w:szCs w:val="22"/>
        </w:rPr>
        <w:t>?</w:t>
      </w: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color w:val="000000"/>
          <w:sz w:val="22"/>
          <w:szCs w:val="22"/>
        </w:rPr>
        <w:t>2. Czy powinniśmy kojarzyć cierpienie z grzechem? Jeśli tak, to kiedy i w jakich okolicznościach?</w:t>
      </w: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27691">
        <w:rPr>
          <w:rFonts w:ascii="Times New Roman" w:hAnsi="Times New Roman"/>
          <w:b/>
          <w:bCs/>
          <w:color w:val="000000"/>
          <w:sz w:val="24"/>
          <w:szCs w:val="24"/>
        </w:rPr>
        <w:t>Etap 4 - Tworzenie</w:t>
      </w:r>
    </w:p>
    <w:p w:rsidR="00E42D55" w:rsidRPr="00E42D55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Cs w:val="30"/>
        </w:rPr>
      </w:pP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b/>
          <w:bCs/>
          <w:color w:val="000000"/>
          <w:sz w:val="22"/>
          <w:szCs w:val="22"/>
        </w:rPr>
        <w:t xml:space="preserve">Tylko dla nauczyciela: </w:t>
      </w:r>
      <w:r w:rsidRPr="00027691">
        <w:rPr>
          <w:rFonts w:ascii="Times New Roman" w:hAnsi="Times New Roman"/>
          <w:color w:val="000000"/>
          <w:sz w:val="22"/>
          <w:szCs w:val="22"/>
        </w:rPr>
        <w:t>Jako adwentyści dnia siódmego jesteśmy czasem oskarżani o legalizm, podobnie jak uważamy przyjaciół Hioba za legalistów. Dobra nowina jest taka, że nie jesteśmy legalistami!</w:t>
      </w: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027691">
        <w:rPr>
          <w:rFonts w:ascii="Times New Roman" w:hAnsi="Times New Roman"/>
          <w:b/>
          <w:bCs/>
          <w:color w:val="000000"/>
          <w:sz w:val="22"/>
          <w:szCs w:val="22"/>
        </w:rPr>
        <w:t>Zajęcia w klasie i indywidualne</w:t>
      </w:r>
    </w:p>
    <w:p w:rsidR="00E42D55" w:rsidRPr="00027691" w:rsidRDefault="00E42D55" w:rsidP="00E42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027691">
        <w:rPr>
          <w:rFonts w:ascii="Times New Roman" w:hAnsi="Times New Roman"/>
          <w:color w:val="000000"/>
          <w:sz w:val="22"/>
          <w:szCs w:val="22"/>
        </w:rPr>
        <w:t>1. Sporządź listę nakazów i zakazów dotyczących świętowania szabatu. Omów tę listę podczas lekcji i zadaj ważne pytanie: Czy ta lista nakazów i zakazów jest najlepszym sposobem podejścia do świętowania szabatu? Dlaczego tak albo dlaczego nie?</w:t>
      </w:r>
    </w:p>
    <w:p w:rsidR="00E316B8" w:rsidRPr="00027691" w:rsidRDefault="00E316B8">
      <w:pPr>
        <w:rPr>
          <w:rFonts w:ascii="Times New Roman" w:hAnsi="Times New Roman"/>
          <w:sz w:val="22"/>
          <w:szCs w:val="22"/>
        </w:rPr>
      </w:pPr>
    </w:p>
    <w:sectPr w:rsidR="00E316B8" w:rsidRPr="000276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D16" w:rsidRDefault="00233D16" w:rsidP="00E42D55">
      <w:r>
        <w:separator/>
      </w:r>
    </w:p>
  </w:endnote>
  <w:endnote w:type="continuationSeparator" w:id="0">
    <w:p w:rsidR="00233D16" w:rsidRDefault="00233D16" w:rsidP="00E42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F0" w:rsidRDefault="004120F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5301828"/>
      <w:docPartObj>
        <w:docPartGallery w:val="Page Numbers (Bottom of Page)"/>
        <w:docPartUnique/>
      </w:docPartObj>
    </w:sdtPr>
    <w:sdtEndPr/>
    <w:sdtContent>
      <w:p w:rsidR="00027691" w:rsidRDefault="0002769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0F0">
          <w:rPr>
            <w:noProof/>
          </w:rPr>
          <w:t>1</w:t>
        </w:r>
        <w:r>
          <w:fldChar w:fldCharType="end"/>
        </w:r>
      </w:p>
    </w:sdtContent>
  </w:sdt>
  <w:p w:rsidR="00027691" w:rsidRDefault="0002769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F0" w:rsidRDefault="004120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D16" w:rsidRDefault="00233D16" w:rsidP="00E42D55">
      <w:r>
        <w:separator/>
      </w:r>
    </w:p>
  </w:footnote>
  <w:footnote w:type="continuationSeparator" w:id="0">
    <w:p w:rsidR="00233D16" w:rsidRDefault="00233D16" w:rsidP="00E42D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F0" w:rsidRDefault="004120F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D55" w:rsidRDefault="00E42D55" w:rsidP="00E42D55">
    <w:pPr>
      <w:pStyle w:val="Nagwek"/>
      <w:rPr>
        <w:rFonts w:ascii="Times New Roman" w:hAnsi="Times New Roman"/>
        <w:sz w:val="20"/>
      </w:rPr>
    </w:pPr>
    <w:r w:rsidRPr="00DF79C1">
      <w:rPr>
        <w:rFonts w:ascii="Times New Roman" w:hAnsi="Times New Roman"/>
        <w:sz w:val="20"/>
      </w:rPr>
      <w:t xml:space="preserve">Lekcje </w:t>
    </w:r>
    <w:r>
      <w:rPr>
        <w:rFonts w:ascii="Times New Roman" w:hAnsi="Times New Roman"/>
        <w:sz w:val="20"/>
      </w:rPr>
      <w:t xml:space="preserve">biblijne </w:t>
    </w:r>
    <w:r w:rsidR="004120F0">
      <w:rPr>
        <w:rFonts w:ascii="Times New Roman" w:hAnsi="Times New Roman"/>
        <w:sz w:val="20"/>
      </w:rPr>
      <w:t>4</w:t>
    </w:r>
    <w:bookmarkStart w:id="0" w:name="_GoBack"/>
    <w:bookmarkEnd w:id="0"/>
    <w:r>
      <w:rPr>
        <w:rFonts w:ascii="Times New Roman" w:hAnsi="Times New Roman"/>
        <w:sz w:val="20"/>
      </w:rPr>
      <w:t xml:space="preserve">/2016, Przewodnik dla nauczycieli, </w:t>
    </w:r>
  </w:p>
  <w:p w:rsidR="00E42D55" w:rsidRPr="00DF79C1" w:rsidRDefault="00E42D55" w:rsidP="00E42D55">
    <w:pPr>
      <w:pStyle w:val="Nagwek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C. Goldstein, </w:t>
    </w:r>
    <w:r w:rsidRPr="00DF79C1">
      <w:rPr>
        <w:rFonts w:ascii="Times New Roman" w:hAnsi="Times New Roman"/>
        <w:sz w:val="20"/>
      </w:rPr>
      <w:t>Księga Hioba</w:t>
    </w:r>
    <w:r>
      <w:rPr>
        <w:rFonts w:ascii="Times New Roman" w:hAnsi="Times New Roman"/>
        <w:sz w:val="20"/>
      </w:rPr>
      <w:t xml:space="preserve">, lekcja 6 „Przekleństwo bez przyczyny?” </w:t>
    </w:r>
  </w:p>
  <w:p w:rsidR="00E42D55" w:rsidRDefault="00E42D55">
    <w:pPr>
      <w:pStyle w:val="Nagwek"/>
    </w:pPr>
  </w:p>
  <w:p w:rsidR="00E42D55" w:rsidRDefault="00E42D5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F0" w:rsidRDefault="004120F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993"/>
    <w:rsid w:val="00027691"/>
    <w:rsid w:val="001618E0"/>
    <w:rsid w:val="00233D16"/>
    <w:rsid w:val="004120F0"/>
    <w:rsid w:val="00B03101"/>
    <w:rsid w:val="00D7474C"/>
    <w:rsid w:val="00E316B8"/>
    <w:rsid w:val="00E42D55"/>
    <w:rsid w:val="00FB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4108C-A10D-4740-B7EE-1D130A961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2D55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2D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2D55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2D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2D55"/>
    <w:rPr>
      <w:rFonts w:ascii="Tahoma" w:eastAsia="Times New Roman" w:hAnsi="Tahoma" w:cs="Times New Roman"/>
      <w:sz w:val="3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1575</Words>
  <Characters>9455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Krok</dc:creator>
  <cp:keywords/>
  <dc:description/>
  <cp:lastModifiedBy>Remigiusz Krok</cp:lastModifiedBy>
  <cp:revision>4</cp:revision>
  <cp:lastPrinted>2016-09-21T17:04:00Z</cp:lastPrinted>
  <dcterms:created xsi:type="dcterms:W3CDTF">2016-09-21T16:49:00Z</dcterms:created>
  <dcterms:modified xsi:type="dcterms:W3CDTF">2016-10-24T16:31:00Z</dcterms:modified>
</cp:coreProperties>
</file>