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B41A5">
        <w:rPr>
          <w:rFonts w:ascii="Times New Roman" w:hAnsi="Times New Roman"/>
          <w:b/>
          <w:bCs/>
          <w:color w:val="000000"/>
          <w:sz w:val="24"/>
          <w:szCs w:val="24"/>
        </w:rPr>
        <w:t>Lekcja 5</w:t>
      </w:r>
      <w:r w:rsidR="00460860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460860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460860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460860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460860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460860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460860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460860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460860">
        <w:rPr>
          <w:rFonts w:ascii="Times New Roman" w:hAnsi="Times New Roman"/>
          <w:b/>
          <w:bCs/>
          <w:color w:val="000000"/>
          <w:sz w:val="24"/>
          <w:szCs w:val="24"/>
        </w:rPr>
        <w:tab/>
        <w:t>29 października</w:t>
      </w:r>
    </w:p>
    <w:p w:rsidR="00460860" w:rsidRDefault="00460860" w:rsidP="00AB41A5">
      <w:pPr>
        <w:jc w:val="center"/>
        <w:rPr>
          <w:rFonts w:ascii="Times New Roman" w:hAnsi="Times New Roman"/>
          <w:b/>
          <w:sz w:val="44"/>
          <w:szCs w:val="44"/>
        </w:rPr>
      </w:pPr>
    </w:p>
    <w:p w:rsidR="00AB41A5" w:rsidRPr="00AB41A5" w:rsidRDefault="00AB41A5" w:rsidP="00AB41A5">
      <w:pPr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  <w:r w:rsidRPr="00AB41A5">
        <w:rPr>
          <w:rFonts w:ascii="Times New Roman" w:hAnsi="Times New Roman"/>
          <w:b/>
          <w:sz w:val="44"/>
          <w:szCs w:val="44"/>
        </w:rPr>
        <w:t>Przeklinam dzień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Cs w:val="30"/>
        </w:rPr>
      </w:pP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AB41A5">
        <w:rPr>
          <w:rFonts w:ascii="Times New Roman" w:hAnsi="Times New Roman"/>
          <w:b/>
          <w:bCs/>
          <w:color w:val="000000"/>
          <w:sz w:val="24"/>
          <w:szCs w:val="24"/>
        </w:rPr>
        <w:t xml:space="preserve">Tekst biblijny: </w:t>
      </w:r>
      <w:r w:rsidRPr="00AB41A5">
        <w:rPr>
          <w:rFonts w:ascii="Times New Roman" w:hAnsi="Times New Roman"/>
          <w:iCs/>
          <w:color w:val="000000"/>
          <w:sz w:val="24"/>
          <w:szCs w:val="24"/>
        </w:rPr>
        <w:t xml:space="preserve">Hi 7,7-21; </w:t>
      </w:r>
      <w:proofErr w:type="spellStart"/>
      <w:r w:rsidRPr="00AB41A5">
        <w:rPr>
          <w:rFonts w:ascii="Times New Roman" w:hAnsi="Times New Roman"/>
          <w:iCs/>
          <w:color w:val="000000"/>
          <w:sz w:val="24"/>
          <w:szCs w:val="24"/>
        </w:rPr>
        <w:t>Ps</w:t>
      </w:r>
      <w:proofErr w:type="spellEnd"/>
      <w:r w:rsidRPr="00AB41A5">
        <w:rPr>
          <w:rFonts w:ascii="Times New Roman" w:hAnsi="Times New Roman"/>
          <w:iCs/>
          <w:color w:val="000000"/>
          <w:sz w:val="24"/>
          <w:szCs w:val="24"/>
        </w:rPr>
        <w:t xml:space="preserve"> 8,5-7; J 11,11-14.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30"/>
        </w:rPr>
      </w:pP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B41A5">
        <w:rPr>
          <w:rFonts w:ascii="Times New Roman" w:hAnsi="Times New Roman"/>
          <w:b/>
          <w:bCs/>
          <w:color w:val="000000"/>
          <w:sz w:val="24"/>
          <w:szCs w:val="24"/>
        </w:rPr>
        <w:t xml:space="preserve">Cele lekcji: 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567" w:firstLine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b/>
          <w:bCs/>
          <w:color w:val="000000"/>
          <w:sz w:val="22"/>
          <w:szCs w:val="22"/>
        </w:rPr>
        <w:t xml:space="preserve">Poznanie: </w:t>
      </w:r>
      <w:r w:rsidRPr="00AB41A5">
        <w:rPr>
          <w:rFonts w:ascii="Times New Roman" w:hAnsi="Times New Roman"/>
          <w:color w:val="000000"/>
          <w:sz w:val="22"/>
          <w:szCs w:val="22"/>
        </w:rPr>
        <w:t>Zbadać biblijną koncepcję stanu człowieka po śmierci wskazanego w narzekaniach Hioba.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567" w:firstLine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b/>
          <w:bCs/>
          <w:color w:val="000000"/>
          <w:sz w:val="22"/>
          <w:szCs w:val="22"/>
        </w:rPr>
        <w:t xml:space="preserve">Odczucie: </w:t>
      </w:r>
      <w:r w:rsidRPr="00AB41A5">
        <w:rPr>
          <w:rFonts w:ascii="Times New Roman" w:hAnsi="Times New Roman"/>
          <w:color w:val="000000"/>
          <w:sz w:val="22"/>
          <w:szCs w:val="22"/>
        </w:rPr>
        <w:t>Okazanie współczucia Hiobowi wyrażającemu swoje cierpienie w dramatycznych słowach i obrazach słownych.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567" w:firstLine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b/>
          <w:bCs/>
          <w:color w:val="000000"/>
          <w:sz w:val="22"/>
          <w:szCs w:val="22"/>
        </w:rPr>
        <w:t xml:space="preserve">Działanie: </w:t>
      </w:r>
      <w:r w:rsidRPr="00AB41A5">
        <w:rPr>
          <w:rFonts w:ascii="Times New Roman" w:hAnsi="Times New Roman"/>
          <w:color w:val="000000"/>
          <w:sz w:val="22"/>
          <w:szCs w:val="22"/>
        </w:rPr>
        <w:t>Przyjęcie biblijnego poglądu na ludzkość, znajdującego najbardziej zdumiewający wyraz w fakcie, iż Syn Boży stał się człowiekiem i umarł za nas.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30"/>
        </w:rPr>
      </w:pPr>
    </w:p>
    <w:p w:rsid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B41A5">
        <w:rPr>
          <w:rFonts w:ascii="Times New Roman" w:hAnsi="Times New Roman"/>
          <w:b/>
          <w:bCs/>
          <w:color w:val="000000"/>
          <w:sz w:val="28"/>
          <w:szCs w:val="28"/>
        </w:rPr>
        <w:t>Plan nauczania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b/>
          <w:bCs/>
          <w:color w:val="000000"/>
          <w:sz w:val="22"/>
          <w:szCs w:val="22"/>
        </w:rPr>
        <w:t>I. Poznanie: Stan umarłych.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color w:val="000000"/>
          <w:sz w:val="22"/>
          <w:szCs w:val="22"/>
        </w:rPr>
        <w:t>A. Jak głęboko wiara w nieśmiertelność duszy przeniknęła współczesną kulturę?</w:t>
      </w:r>
    </w:p>
    <w:p w:rsid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567" w:firstLine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color w:val="000000"/>
          <w:sz w:val="22"/>
          <w:szCs w:val="22"/>
        </w:rPr>
        <w:t>B. Jakie są dla nas praktyczne implikacje wynikają z wierzenia w „sen” po śmierci, gdy umierają nasi bliscy?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567" w:firstLine="0"/>
        <w:rPr>
          <w:rFonts w:ascii="Times New Roman" w:hAnsi="Times New Roman"/>
          <w:color w:val="000000"/>
          <w:sz w:val="22"/>
          <w:szCs w:val="22"/>
        </w:rPr>
      </w:pP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b/>
          <w:bCs/>
          <w:color w:val="000000"/>
          <w:sz w:val="22"/>
          <w:szCs w:val="22"/>
        </w:rPr>
        <w:t>II. Odczucie: Współcierpienie z Hiobem.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color w:val="000000"/>
          <w:sz w:val="22"/>
          <w:szCs w:val="22"/>
        </w:rPr>
        <w:t>A. Co jest gorsze - cierpienie Hioba czy nasze? Wyjaśnij swoją odpowiedź.</w:t>
      </w:r>
    </w:p>
    <w:p w:rsid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567" w:firstLine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color w:val="000000"/>
          <w:sz w:val="22"/>
          <w:szCs w:val="22"/>
        </w:rPr>
        <w:t>B. Jak możemy zachowywać empatię w obliczu natłoku informacji dokumentujących ludzkie cierpienie w świecie?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567" w:firstLine="0"/>
        <w:rPr>
          <w:rFonts w:ascii="Times New Roman" w:hAnsi="Times New Roman"/>
          <w:color w:val="000000"/>
          <w:sz w:val="22"/>
          <w:szCs w:val="22"/>
        </w:rPr>
      </w:pP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b/>
          <w:bCs/>
          <w:color w:val="000000"/>
          <w:sz w:val="22"/>
          <w:szCs w:val="22"/>
        </w:rPr>
        <w:t>III. Działanie: Stan żyjących.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color w:val="000000"/>
          <w:sz w:val="22"/>
          <w:szCs w:val="22"/>
        </w:rPr>
        <w:t>A. Jak odpowiedziałbyś na egzystencjalne pytanie Hioba: „Kim jest człowiek?”.</w:t>
      </w:r>
    </w:p>
    <w:p w:rsid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color w:val="000000"/>
          <w:sz w:val="22"/>
          <w:szCs w:val="22"/>
        </w:rPr>
        <w:t>B. Jak życie i śmierć Chrystusa pomagają nam odpowiedzieć na to pytanie?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left="567" w:firstLine="0"/>
        <w:rPr>
          <w:rFonts w:ascii="Times New Roman" w:hAnsi="Times New Roman"/>
          <w:color w:val="000000"/>
          <w:szCs w:val="30"/>
        </w:rPr>
      </w:pPr>
      <w:r w:rsidRPr="00AB41A5">
        <w:rPr>
          <w:rFonts w:ascii="Times New Roman" w:hAnsi="Times New Roman"/>
          <w:b/>
          <w:bCs/>
          <w:color w:val="000000"/>
          <w:sz w:val="22"/>
          <w:szCs w:val="22"/>
        </w:rPr>
        <w:t>Podsumowanie:</w:t>
      </w:r>
      <w:r w:rsidRPr="00AB41A5">
        <w:rPr>
          <w:rFonts w:ascii="Times New Roman" w:hAnsi="Times New Roman"/>
          <w:color w:val="000000"/>
          <w:sz w:val="22"/>
          <w:szCs w:val="22"/>
        </w:rPr>
        <w:t xml:space="preserve"> Cierpienie i śmierć są ściśle związane ze sobą w </w:t>
      </w:r>
      <w:r w:rsidRPr="00AB41A5">
        <w:rPr>
          <w:rFonts w:ascii="Times New Roman" w:hAnsi="Times New Roman"/>
          <w:i/>
          <w:iCs/>
          <w:color w:val="000000"/>
          <w:sz w:val="22"/>
          <w:szCs w:val="22"/>
        </w:rPr>
        <w:t>Księdze Hioba</w:t>
      </w:r>
      <w:r w:rsidRPr="00AB41A5">
        <w:rPr>
          <w:rFonts w:ascii="Times New Roman" w:hAnsi="Times New Roman"/>
          <w:color w:val="000000"/>
          <w:sz w:val="22"/>
          <w:szCs w:val="22"/>
        </w:rPr>
        <w:t>, a myśli o śmierci (czy przeklinanie dnia narodzin) przewijają się w biadaniach Hioba. Z jego cierpienia możemy się dowiedzieć o śmierci, ale także o życiu oraz o tym, jak Bóg w Chrystusie pokonał śmierć i grzech. Biblijna wiedza o tych zagadnieniach życia i śmierci powinna usposobić nas do współczucia wobec ludzi cierpiących wokół nas</w:t>
      </w:r>
      <w:r w:rsidRPr="00AB41A5">
        <w:rPr>
          <w:rFonts w:ascii="Times New Roman" w:hAnsi="Times New Roman"/>
          <w:color w:val="000000"/>
          <w:szCs w:val="30"/>
        </w:rPr>
        <w:t>.</w:t>
      </w:r>
    </w:p>
    <w:p w:rsidR="00AB41A5" w:rsidRDefault="00AB41A5">
      <w:pPr>
        <w:spacing w:after="160" w:line="259" w:lineRule="auto"/>
        <w:ind w:firstLine="0"/>
        <w:jc w:val="left"/>
        <w:rPr>
          <w:rFonts w:ascii="Times New Roman" w:hAnsi="Times New Roman"/>
          <w:color w:val="000000"/>
          <w:szCs w:val="30"/>
        </w:rPr>
      </w:pPr>
      <w:r>
        <w:rPr>
          <w:rFonts w:ascii="Times New Roman" w:hAnsi="Times New Roman"/>
          <w:color w:val="000000"/>
          <w:szCs w:val="30"/>
        </w:rPr>
        <w:br w:type="page"/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Cs w:val="30"/>
        </w:rPr>
      </w:pP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B41A5">
        <w:rPr>
          <w:rFonts w:ascii="Times New Roman" w:hAnsi="Times New Roman"/>
          <w:b/>
          <w:bCs/>
          <w:color w:val="000000"/>
          <w:sz w:val="28"/>
          <w:szCs w:val="28"/>
        </w:rPr>
        <w:t>Cykl nauczania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Cs w:val="30"/>
        </w:rPr>
      </w:pP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2"/>
        </w:rPr>
      </w:pPr>
      <w:r w:rsidRPr="00AB41A5">
        <w:rPr>
          <w:rFonts w:ascii="Times New Roman" w:hAnsi="Times New Roman"/>
          <w:b/>
          <w:bCs/>
          <w:color w:val="000000"/>
          <w:sz w:val="24"/>
          <w:szCs w:val="22"/>
        </w:rPr>
        <w:t>Etap 1 - Motywowanie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b/>
          <w:bCs/>
          <w:color w:val="000000"/>
          <w:sz w:val="22"/>
          <w:szCs w:val="22"/>
        </w:rPr>
        <w:t xml:space="preserve">Tekst biblijny: </w:t>
      </w:r>
      <w:r w:rsidRPr="00AB41A5">
        <w:rPr>
          <w:rFonts w:ascii="Times New Roman" w:hAnsi="Times New Roman"/>
          <w:iCs/>
          <w:color w:val="000000"/>
          <w:sz w:val="22"/>
          <w:szCs w:val="22"/>
        </w:rPr>
        <w:t>Hi 6,1-3.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b/>
          <w:bCs/>
          <w:color w:val="000000"/>
          <w:sz w:val="22"/>
          <w:szCs w:val="22"/>
        </w:rPr>
        <w:t xml:space="preserve">Kluczowa koncepcja duchowego rozwoju: </w:t>
      </w:r>
      <w:r w:rsidRPr="00AB41A5">
        <w:rPr>
          <w:rFonts w:ascii="Times New Roman" w:hAnsi="Times New Roman"/>
          <w:color w:val="000000"/>
          <w:sz w:val="22"/>
          <w:szCs w:val="22"/>
        </w:rPr>
        <w:t>Polskie słowo „współczucie” jest złożeniem dwóch słów: „</w:t>
      </w:r>
      <w:proofErr w:type="spellStart"/>
      <w:r w:rsidRPr="00AB41A5">
        <w:rPr>
          <w:rFonts w:ascii="Times New Roman" w:hAnsi="Times New Roman"/>
          <w:color w:val="000000"/>
          <w:sz w:val="22"/>
          <w:szCs w:val="22"/>
        </w:rPr>
        <w:t>współ</w:t>
      </w:r>
      <w:proofErr w:type="spellEnd"/>
      <w:r w:rsidRPr="00AB41A5">
        <w:rPr>
          <w:rFonts w:ascii="Times New Roman" w:hAnsi="Times New Roman"/>
          <w:color w:val="000000"/>
          <w:sz w:val="22"/>
          <w:szCs w:val="22"/>
        </w:rPr>
        <w:t>” znaczącego tyle co „razem” oraz „czucie” czyli odczuwanie. Kiedy jesteśmy współczujący, cierpimy razem z osobą, która doświadcza cierpienia. Cierpienie Hioba, które doprowadziło go fizycznie i emocjonalnie na próg śmierci, zaprasza nas, byśmy wczuli się w nie i uczyli się o życiu i śmierci z biblijnej perspektywy. Choć nasza zdolność współczucia zawsze pozostanie ograniczona, Bóg posłał swego Syna, by cierpiał z nami i dla nas.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b/>
          <w:bCs/>
          <w:color w:val="000000"/>
          <w:sz w:val="22"/>
          <w:szCs w:val="22"/>
        </w:rPr>
        <w:t xml:space="preserve">Tylko dla nauczyciela: </w:t>
      </w:r>
      <w:r w:rsidRPr="00AB41A5">
        <w:rPr>
          <w:rFonts w:ascii="Times New Roman" w:hAnsi="Times New Roman"/>
          <w:color w:val="000000"/>
          <w:sz w:val="22"/>
          <w:szCs w:val="22"/>
        </w:rPr>
        <w:t>Lekcja tego tygodnia może się wydawać nieco przygnębiająca, jako że mówimy o silnych odczuciach Hioba wobec jego cierpienia. Hiob przeklinał dzień swego narodzenia (Hi 3,1-10), rozmyślał nad nicością życia i oczekiwał śmierci (Hi 7,1-11). Jednak ważne jest, byśmy sobie uświadomili, że takie myśli wypływały z biblijnego światopoglądu kogoś, kto nie brał nawet pod uwagę możliwości popełnienia samobójstwa. Choć Hiob zdecydowanie przejawiał objawy depresji, to jednak jego myśli o śmierci miały postać prośby o śmierć kierowanej do Boga i motywowanej pragnieniem uwolnienia od cierpienia.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b/>
          <w:bCs/>
          <w:color w:val="000000"/>
          <w:sz w:val="22"/>
          <w:szCs w:val="22"/>
        </w:rPr>
        <w:t xml:space="preserve">Otwarcie dyskusji: </w:t>
      </w:r>
      <w:r w:rsidRPr="00AB41A5">
        <w:rPr>
          <w:rFonts w:ascii="Times New Roman" w:hAnsi="Times New Roman"/>
          <w:color w:val="000000"/>
          <w:sz w:val="22"/>
          <w:szCs w:val="22"/>
        </w:rPr>
        <w:t>Stare przysłowie północnoamerykańskich Indian mówi, że aby zrozumieć człowieka, trzeba przejść milę w jego mokasynach. Istnieją rozmaite odmiany tego przysłowia, ale przesłanie jest takie samo - musimy postawić się na czyimś miejscu, aby naprawdę zrozumieć, jak czuje się ta osoba i przez co przechodzi.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color w:val="000000"/>
          <w:sz w:val="22"/>
          <w:szCs w:val="22"/>
        </w:rPr>
        <w:t>Poniższy przykład ilustruje tę koncepcję. Młodszy syn Marcina lubi zakładać okulary taty zaopatrzone w dość silne soczewki. Syn zawsze zdumiewa się zmianą perspektywy i tym, jak inaczej wyglądają rzeczy przez okulary taty. Jednak nie jest w stanie nosić ich zbyt długo. Z ulgą odkłada je i wraca do swojej wizualnej rzeczywistości.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color w:val="000000"/>
          <w:sz w:val="22"/>
          <w:szCs w:val="22"/>
        </w:rPr>
        <w:t>Pomyśl o przypadkach w twoim życiu, kiedy zakładałeś czyjeś „okulary” i patrzyłeś, jak wygląda świat z czyjejś perspektywy. Takie przypadki polegają na okazywaniu empatii i współczucia tym, którzy cierpią. Na podstawie powyższego przykładu określ zasięg współczucia. Jakie są jego ograniczenia?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2"/>
        </w:rPr>
      </w:pPr>
      <w:r w:rsidRPr="00AB41A5">
        <w:rPr>
          <w:rFonts w:ascii="Times New Roman" w:hAnsi="Times New Roman"/>
          <w:b/>
          <w:bCs/>
          <w:color w:val="000000"/>
          <w:sz w:val="24"/>
          <w:szCs w:val="22"/>
        </w:rPr>
        <w:t>Etap 2 - Badanie</w:t>
      </w:r>
    </w:p>
    <w:p w:rsidR="00AB41A5" w:rsidRPr="00AB41A5" w:rsidRDefault="00AB41A5" w:rsidP="00AB41A5">
      <w:pPr>
        <w:tabs>
          <w:tab w:val="left" w:pos="750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b/>
          <w:bCs/>
          <w:color w:val="000000"/>
          <w:sz w:val="22"/>
          <w:szCs w:val="22"/>
        </w:rPr>
        <w:t xml:space="preserve">Tylko dla nauczyciela: </w:t>
      </w:r>
      <w:r w:rsidRPr="00AB41A5">
        <w:rPr>
          <w:rFonts w:ascii="Times New Roman" w:hAnsi="Times New Roman"/>
          <w:color w:val="000000"/>
          <w:sz w:val="22"/>
          <w:szCs w:val="22"/>
        </w:rPr>
        <w:t xml:space="preserve">Gdy wychodzimy poza wstępne rozdziały </w:t>
      </w:r>
      <w:r w:rsidRPr="00AB41A5">
        <w:rPr>
          <w:rFonts w:ascii="Times New Roman" w:hAnsi="Times New Roman"/>
          <w:i/>
          <w:iCs/>
          <w:color w:val="000000"/>
          <w:sz w:val="22"/>
          <w:szCs w:val="22"/>
        </w:rPr>
        <w:t>Księgi Hioba</w:t>
      </w:r>
      <w:r w:rsidRPr="00AB41A5">
        <w:rPr>
          <w:rFonts w:ascii="Times New Roman" w:hAnsi="Times New Roman"/>
          <w:color w:val="000000"/>
          <w:sz w:val="22"/>
          <w:szCs w:val="22"/>
        </w:rPr>
        <w:t xml:space="preserve"> studiując bardziej szczegółowo kolejne mowy bohaterów księgi, widzimy, jak początkowo Hiob, a potem także jego trzej przyjaciele rozwijają dyskusję. Mając w pamięci ten ogólny plan ważne jest, byśmy zrozumieli, że dwa pierwsze i ostatni rozdział księgi są napisane prozą, a pozostałe rozdziały (Hi 3,3—42,6) to poezja. Jedną z głównych cech hebrajskiej poezji jest paralelizm kolejnych wersów, jak np. w Hi 8,3: „Czy Bóg łamie prawo? Czy Wszechmocny nagina sprawiedliwość?”.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color w:val="000000"/>
          <w:sz w:val="22"/>
          <w:szCs w:val="22"/>
        </w:rPr>
        <w:t xml:space="preserve">Ponadto innym ważnym środkiem poetyckim w </w:t>
      </w:r>
      <w:r w:rsidRPr="00AB41A5">
        <w:rPr>
          <w:rFonts w:ascii="Times New Roman" w:hAnsi="Times New Roman"/>
          <w:i/>
          <w:iCs/>
          <w:color w:val="000000"/>
          <w:sz w:val="22"/>
          <w:szCs w:val="22"/>
        </w:rPr>
        <w:t>Księdze Hioba</w:t>
      </w:r>
      <w:r w:rsidRPr="00AB41A5">
        <w:rPr>
          <w:rFonts w:ascii="Times New Roman" w:hAnsi="Times New Roman"/>
          <w:color w:val="000000"/>
          <w:sz w:val="22"/>
          <w:szCs w:val="22"/>
        </w:rPr>
        <w:t xml:space="preserve"> jest bogate obrazowanie w mocny sposób ilustrujące poszczególne mowy, na przykład obraz najemnego robotnika i jego trudu w Hi 7,1-6 mający symbolizować życie Hioba w cierpieniu, życie „bez nadziei” (Hi 7,6). Należy wymienić te środki poetyckie podczas dyskusji w klasie, aby uczestnicy lekcji byli świadomi, jak środki te służą wzbogaceniu naszego zrozumienia </w:t>
      </w:r>
      <w:r w:rsidRPr="00AB41A5">
        <w:rPr>
          <w:rFonts w:ascii="Times New Roman" w:hAnsi="Times New Roman"/>
          <w:i/>
          <w:iCs/>
          <w:color w:val="000000"/>
          <w:sz w:val="22"/>
          <w:szCs w:val="22"/>
        </w:rPr>
        <w:t>Pisma Świętego</w:t>
      </w:r>
      <w:r w:rsidRPr="00AB41A5">
        <w:rPr>
          <w:rFonts w:ascii="Times New Roman" w:hAnsi="Times New Roman"/>
          <w:color w:val="000000"/>
          <w:sz w:val="22"/>
          <w:szCs w:val="22"/>
        </w:rPr>
        <w:t>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AB41A5">
        <w:rPr>
          <w:rFonts w:ascii="Times New Roman" w:hAnsi="Times New Roman"/>
          <w:b/>
          <w:bCs/>
          <w:color w:val="000000"/>
          <w:sz w:val="22"/>
          <w:szCs w:val="22"/>
        </w:rPr>
        <w:t>Komentarz biblijny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color w:val="000000"/>
          <w:sz w:val="22"/>
          <w:szCs w:val="22"/>
        </w:rPr>
        <w:t>Narzekania Hioba są echem biblijnej antropologii, która rzuca światło na jego pogląd w kwestii życia i śmierci. Choć są to tylko narzekania, a zatem siłą rzeczy skupiają się na śmierci i negatywnych stronach życia, to jednak otwierają także drogę do łączności z Bogiem. Jeśli kierujemy do Boga nawet nasze najbardziej gorzkie narzekania, to jesteśmy we właściwym miejscu, a Bóg nas wysłucha.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b/>
          <w:bCs/>
          <w:color w:val="000000"/>
          <w:sz w:val="22"/>
          <w:szCs w:val="22"/>
        </w:rPr>
        <w:t xml:space="preserve">I. Struktura </w:t>
      </w:r>
      <w:r w:rsidRPr="00AB41A5">
        <w:rPr>
          <w:rFonts w:ascii="Times New Roman" w:hAnsi="Times New Roman"/>
          <w:b/>
          <w:bCs/>
          <w:i/>
          <w:iCs/>
          <w:color w:val="000000"/>
          <w:sz w:val="22"/>
          <w:szCs w:val="22"/>
        </w:rPr>
        <w:t>Księgi Hioba</w:t>
      </w:r>
      <w:r w:rsidRPr="00AB41A5">
        <w:rPr>
          <w:rFonts w:ascii="Times New Roman" w:hAnsi="Times New Roman"/>
          <w:b/>
          <w:bCs/>
          <w:color w:val="000000"/>
          <w:sz w:val="22"/>
          <w:szCs w:val="22"/>
        </w:rPr>
        <w:t xml:space="preserve"> </w:t>
      </w:r>
      <w:r w:rsidRPr="00AB41A5">
        <w:rPr>
          <w:rFonts w:ascii="Times New Roman" w:hAnsi="Times New Roman"/>
          <w:color w:val="000000"/>
          <w:sz w:val="22"/>
          <w:szCs w:val="22"/>
        </w:rPr>
        <w:t>(przejrzyj Hi 1—42).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color w:val="000000"/>
          <w:sz w:val="22"/>
          <w:szCs w:val="22"/>
        </w:rPr>
        <w:t xml:space="preserve">W tym miejscu naszego studium </w:t>
      </w:r>
      <w:r w:rsidRPr="00AB41A5">
        <w:rPr>
          <w:rFonts w:ascii="Times New Roman" w:hAnsi="Times New Roman"/>
          <w:i/>
          <w:iCs/>
          <w:color w:val="000000"/>
          <w:sz w:val="22"/>
          <w:szCs w:val="22"/>
        </w:rPr>
        <w:t>Księgi Hioba</w:t>
      </w:r>
      <w:r w:rsidRPr="00AB41A5">
        <w:rPr>
          <w:rFonts w:ascii="Times New Roman" w:hAnsi="Times New Roman"/>
          <w:color w:val="000000"/>
          <w:sz w:val="22"/>
          <w:szCs w:val="22"/>
        </w:rPr>
        <w:t xml:space="preserve"> ciekawe mogłoby być przyjrzenie się literackiej strukturze księgi, gdy Hiob i jego przyjaciele rozpoczynają swoje mowy. Oto plan wyszczególniający najważniejsze części księgi: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color w:val="000000"/>
          <w:sz w:val="22"/>
          <w:szCs w:val="22"/>
        </w:rPr>
        <w:t>1. Wprowadzenie (Hi 1—2), napisane prozą.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color w:val="000000"/>
          <w:sz w:val="22"/>
          <w:szCs w:val="22"/>
        </w:rPr>
        <w:t>2. Pierwsze narzekanie Hioba (Hi 3), odtąd do Hi 42,7 część poetycka.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color w:val="000000"/>
          <w:sz w:val="22"/>
          <w:szCs w:val="22"/>
        </w:rPr>
        <w:t xml:space="preserve">3. Pierwszy cykl dialogów: </w:t>
      </w:r>
      <w:proofErr w:type="spellStart"/>
      <w:r w:rsidRPr="00AB41A5">
        <w:rPr>
          <w:rFonts w:ascii="Times New Roman" w:hAnsi="Times New Roman"/>
          <w:color w:val="000000"/>
          <w:sz w:val="22"/>
          <w:szCs w:val="22"/>
        </w:rPr>
        <w:t>Elifaz</w:t>
      </w:r>
      <w:proofErr w:type="spellEnd"/>
      <w:r w:rsidRPr="00AB41A5">
        <w:rPr>
          <w:rFonts w:ascii="Times New Roman" w:hAnsi="Times New Roman"/>
          <w:color w:val="000000"/>
          <w:sz w:val="22"/>
          <w:szCs w:val="22"/>
        </w:rPr>
        <w:t xml:space="preserve"> (Hi 4—5); Hiob (Hi 6—7); </w:t>
      </w:r>
      <w:proofErr w:type="spellStart"/>
      <w:r w:rsidRPr="00AB41A5">
        <w:rPr>
          <w:rFonts w:ascii="Times New Roman" w:hAnsi="Times New Roman"/>
          <w:color w:val="000000"/>
          <w:sz w:val="22"/>
          <w:szCs w:val="22"/>
        </w:rPr>
        <w:t>Bildad</w:t>
      </w:r>
      <w:proofErr w:type="spellEnd"/>
      <w:r w:rsidRPr="00AB41A5">
        <w:rPr>
          <w:rFonts w:ascii="Times New Roman" w:hAnsi="Times New Roman"/>
          <w:color w:val="000000"/>
          <w:sz w:val="22"/>
          <w:szCs w:val="22"/>
        </w:rPr>
        <w:t xml:space="preserve"> (Hi 8); Hiob (Hi 9—10); </w:t>
      </w:r>
      <w:proofErr w:type="spellStart"/>
      <w:r w:rsidRPr="00AB41A5">
        <w:rPr>
          <w:rFonts w:ascii="Times New Roman" w:hAnsi="Times New Roman"/>
          <w:color w:val="000000"/>
          <w:sz w:val="22"/>
          <w:szCs w:val="22"/>
        </w:rPr>
        <w:t>Sofar</w:t>
      </w:r>
      <w:proofErr w:type="spellEnd"/>
      <w:r w:rsidRPr="00AB41A5">
        <w:rPr>
          <w:rFonts w:ascii="Times New Roman" w:hAnsi="Times New Roman"/>
          <w:color w:val="000000"/>
          <w:sz w:val="22"/>
          <w:szCs w:val="22"/>
        </w:rPr>
        <w:t xml:space="preserve"> (Hi 11); Hiob (Hi 12—14).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color w:val="000000"/>
          <w:sz w:val="22"/>
          <w:szCs w:val="22"/>
        </w:rPr>
        <w:t xml:space="preserve">4. Drugi cykl dialogów: </w:t>
      </w:r>
      <w:proofErr w:type="spellStart"/>
      <w:r w:rsidRPr="00AB41A5">
        <w:rPr>
          <w:rFonts w:ascii="Times New Roman" w:hAnsi="Times New Roman"/>
          <w:color w:val="000000"/>
          <w:sz w:val="22"/>
          <w:szCs w:val="22"/>
        </w:rPr>
        <w:t>Elifaz</w:t>
      </w:r>
      <w:proofErr w:type="spellEnd"/>
      <w:r w:rsidRPr="00AB41A5">
        <w:rPr>
          <w:rFonts w:ascii="Times New Roman" w:hAnsi="Times New Roman"/>
          <w:color w:val="000000"/>
          <w:sz w:val="22"/>
          <w:szCs w:val="22"/>
        </w:rPr>
        <w:t xml:space="preserve"> (Hi 15); Hiob (Hi 16—17); </w:t>
      </w:r>
      <w:proofErr w:type="spellStart"/>
      <w:r w:rsidRPr="00AB41A5">
        <w:rPr>
          <w:rFonts w:ascii="Times New Roman" w:hAnsi="Times New Roman"/>
          <w:color w:val="000000"/>
          <w:sz w:val="22"/>
          <w:szCs w:val="22"/>
        </w:rPr>
        <w:t>Bildad</w:t>
      </w:r>
      <w:proofErr w:type="spellEnd"/>
      <w:r w:rsidRPr="00AB41A5">
        <w:rPr>
          <w:rFonts w:ascii="Times New Roman" w:hAnsi="Times New Roman"/>
          <w:color w:val="000000"/>
          <w:sz w:val="22"/>
          <w:szCs w:val="22"/>
        </w:rPr>
        <w:t xml:space="preserve"> (Hi 18); Hiob (Hi 19); </w:t>
      </w:r>
      <w:proofErr w:type="spellStart"/>
      <w:r w:rsidRPr="00AB41A5">
        <w:rPr>
          <w:rFonts w:ascii="Times New Roman" w:hAnsi="Times New Roman"/>
          <w:color w:val="000000"/>
          <w:sz w:val="22"/>
          <w:szCs w:val="22"/>
        </w:rPr>
        <w:t>Sofar</w:t>
      </w:r>
      <w:proofErr w:type="spellEnd"/>
      <w:r w:rsidRPr="00AB41A5">
        <w:rPr>
          <w:rFonts w:ascii="Times New Roman" w:hAnsi="Times New Roman"/>
          <w:color w:val="000000"/>
          <w:sz w:val="22"/>
          <w:szCs w:val="22"/>
        </w:rPr>
        <w:t xml:space="preserve"> (Hi 20); Hi (Hi 21).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color w:val="000000"/>
          <w:sz w:val="22"/>
          <w:szCs w:val="22"/>
        </w:rPr>
        <w:t xml:space="preserve">5. Trzeci cykl dialogów: </w:t>
      </w:r>
      <w:proofErr w:type="spellStart"/>
      <w:r w:rsidRPr="00AB41A5">
        <w:rPr>
          <w:rFonts w:ascii="Times New Roman" w:hAnsi="Times New Roman"/>
          <w:color w:val="000000"/>
          <w:sz w:val="22"/>
          <w:szCs w:val="22"/>
        </w:rPr>
        <w:t>Elifaz</w:t>
      </w:r>
      <w:proofErr w:type="spellEnd"/>
      <w:r w:rsidRPr="00AB41A5">
        <w:rPr>
          <w:rFonts w:ascii="Times New Roman" w:hAnsi="Times New Roman"/>
          <w:color w:val="000000"/>
          <w:sz w:val="22"/>
          <w:szCs w:val="22"/>
        </w:rPr>
        <w:t xml:space="preserve"> (Hi 22); Hiob (Hi 23—24); </w:t>
      </w:r>
      <w:proofErr w:type="spellStart"/>
      <w:r w:rsidRPr="00AB41A5">
        <w:rPr>
          <w:rFonts w:ascii="Times New Roman" w:hAnsi="Times New Roman"/>
          <w:color w:val="000000"/>
          <w:sz w:val="22"/>
          <w:szCs w:val="22"/>
        </w:rPr>
        <w:t>Bildad</w:t>
      </w:r>
      <w:proofErr w:type="spellEnd"/>
      <w:r w:rsidRPr="00AB41A5">
        <w:rPr>
          <w:rFonts w:ascii="Times New Roman" w:hAnsi="Times New Roman"/>
          <w:color w:val="000000"/>
          <w:sz w:val="22"/>
          <w:szCs w:val="22"/>
        </w:rPr>
        <w:t xml:space="preserve"> (Hi 25); Hiob (Hi 26—27).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color w:val="000000"/>
          <w:sz w:val="22"/>
          <w:szCs w:val="22"/>
        </w:rPr>
        <w:t>6. Monolog Hioba (Hi 28—31).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color w:val="000000"/>
          <w:sz w:val="22"/>
          <w:szCs w:val="22"/>
        </w:rPr>
        <w:t xml:space="preserve">7. Mowa </w:t>
      </w:r>
      <w:proofErr w:type="spellStart"/>
      <w:r w:rsidRPr="00AB41A5">
        <w:rPr>
          <w:rFonts w:ascii="Times New Roman" w:hAnsi="Times New Roman"/>
          <w:color w:val="000000"/>
          <w:sz w:val="22"/>
          <w:szCs w:val="22"/>
        </w:rPr>
        <w:t>Elihu</w:t>
      </w:r>
      <w:proofErr w:type="spellEnd"/>
      <w:r w:rsidRPr="00AB41A5">
        <w:rPr>
          <w:rFonts w:ascii="Times New Roman" w:hAnsi="Times New Roman"/>
          <w:color w:val="000000"/>
          <w:sz w:val="22"/>
          <w:szCs w:val="22"/>
        </w:rPr>
        <w:t xml:space="preserve"> (Hi 32—37).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color w:val="000000"/>
          <w:sz w:val="22"/>
          <w:szCs w:val="22"/>
        </w:rPr>
        <w:t>8. Odpowiedź Boga i skrucha Hioba (Hi 38—42,6).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color w:val="000000"/>
          <w:sz w:val="22"/>
          <w:szCs w:val="22"/>
        </w:rPr>
        <w:t>9. Epilog (Hi 42,7-17), napisany prozą.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color w:val="000000"/>
          <w:sz w:val="22"/>
          <w:szCs w:val="22"/>
        </w:rPr>
        <w:t xml:space="preserve">Ciekawe, że po wstępnych narzekaniach Hioba w rozdziale 3 dwa pierwsze cykle dialogów są ukształtowane niemal identycznie - jeden z przyjaciół przemawia, a Hiob odpowiada. Trzeci cykl jest krótszy i prowadzi do długiego monologu Hioba. Mowa </w:t>
      </w:r>
      <w:proofErr w:type="spellStart"/>
      <w:r w:rsidRPr="00AB41A5">
        <w:rPr>
          <w:rFonts w:ascii="Times New Roman" w:hAnsi="Times New Roman"/>
          <w:color w:val="000000"/>
          <w:sz w:val="22"/>
          <w:szCs w:val="22"/>
        </w:rPr>
        <w:t>Elihu</w:t>
      </w:r>
      <w:proofErr w:type="spellEnd"/>
      <w:r w:rsidRPr="00AB41A5">
        <w:rPr>
          <w:rFonts w:ascii="Times New Roman" w:hAnsi="Times New Roman"/>
          <w:color w:val="000000"/>
          <w:sz w:val="22"/>
          <w:szCs w:val="22"/>
        </w:rPr>
        <w:t xml:space="preserve"> służy jako interwał poprzedzający końcową mowę Boga. Cała ta struktura tworzy silny ciąg zmierzający ku odpowiedzi ze strony </w:t>
      </w:r>
      <w:proofErr w:type="spellStart"/>
      <w:r w:rsidRPr="00AB41A5">
        <w:rPr>
          <w:rFonts w:ascii="Times New Roman" w:hAnsi="Times New Roman"/>
          <w:color w:val="000000"/>
          <w:sz w:val="22"/>
          <w:szCs w:val="22"/>
        </w:rPr>
        <w:t>Jahwe</w:t>
      </w:r>
      <w:proofErr w:type="spellEnd"/>
      <w:r w:rsidRPr="00AB41A5">
        <w:rPr>
          <w:rFonts w:ascii="Times New Roman" w:hAnsi="Times New Roman"/>
          <w:color w:val="000000"/>
          <w:sz w:val="22"/>
          <w:szCs w:val="22"/>
        </w:rPr>
        <w:t xml:space="preserve">, która jest literacką kulminacją </w:t>
      </w:r>
      <w:r w:rsidRPr="00AB41A5">
        <w:rPr>
          <w:rFonts w:ascii="Times New Roman" w:hAnsi="Times New Roman"/>
          <w:i/>
          <w:iCs/>
          <w:color w:val="000000"/>
          <w:sz w:val="22"/>
          <w:szCs w:val="22"/>
        </w:rPr>
        <w:t>Księgi Hioba</w:t>
      </w:r>
      <w:r w:rsidRPr="00AB41A5">
        <w:rPr>
          <w:rFonts w:ascii="Times New Roman" w:hAnsi="Times New Roman"/>
          <w:color w:val="000000"/>
          <w:sz w:val="22"/>
          <w:szCs w:val="22"/>
        </w:rPr>
        <w:t xml:space="preserve">. Po Jego odpowiedzi następuje epilog (napisany podobnie jak prolog - prozą, a nie poezją) kończący </w:t>
      </w:r>
      <w:r w:rsidRPr="00AB41A5">
        <w:rPr>
          <w:rFonts w:ascii="Times New Roman" w:hAnsi="Times New Roman"/>
          <w:i/>
          <w:iCs/>
          <w:color w:val="000000"/>
          <w:sz w:val="22"/>
          <w:szCs w:val="22"/>
        </w:rPr>
        <w:t>Księgę Hioba</w:t>
      </w:r>
      <w:r w:rsidRPr="00AB41A5">
        <w:rPr>
          <w:rFonts w:ascii="Times New Roman" w:hAnsi="Times New Roman"/>
          <w:color w:val="000000"/>
          <w:sz w:val="22"/>
          <w:szCs w:val="22"/>
        </w:rPr>
        <w:t>, która z pewnością jest wspaniałym arcydziełem literatury.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b/>
          <w:bCs/>
          <w:color w:val="000000"/>
          <w:sz w:val="22"/>
          <w:szCs w:val="22"/>
        </w:rPr>
        <w:t xml:space="preserve">Do rozważenia: </w:t>
      </w:r>
      <w:r w:rsidRPr="00AB41A5">
        <w:rPr>
          <w:rFonts w:ascii="Times New Roman" w:hAnsi="Times New Roman"/>
          <w:color w:val="000000"/>
          <w:sz w:val="22"/>
          <w:szCs w:val="22"/>
        </w:rPr>
        <w:t xml:space="preserve">Jakie jeszcze spostrzeżenia nasuwają ci się, gdy przyglądasz się strukturze literackiej </w:t>
      </w:r>
      <w:r w:rsidRPr="00AB41A5">
        <w:rPr>
          <w:rFonts w:ascii="Times New Roman" w:hAnsi="Times New Roman"/>
          <w:i/>
          <w:iCs/>
          <w:color w:val="000000"/>
          <w:sz w:val="22"/>
          <w:szCs w:val="22"/>
        </w:rPr>
        <w:t>Księgi Hioba</w:t>
      </w:r>
      <w:r w:rsidRPr="00AB41A5">
        <w:rPr>
          <w:rFonts w:ascii="Times New Roman" w:hAnsi="Times New Roman"/>
          <w:color w:val="000000"/>
          <w:sz w:val="22"/>
          <w:szCs w:val="22"/>
        </w:rPr>
        <w:t>?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b/>
          <w:bCs/>
          <w:color w:val="000000"/>
          <w:sz w:val="22"/>
          <w:szCs w:val="22"/>
        </w:rPr>
        <w:t>II. Stan umarłych</w:t>
      </w:r>
      <w:r w:rsidRPr="00AB41A5">
        <w:rPr>
          <w:rFonts w:ascii="Times New Roman" w:hAnsi="Times New Roman"/>
          <w:color w:val="000000"/>
          <w:sz w:val="22"/>
          <w:szCs w:val="22"/>
        </w:rPr>
        <w:t xml:space="preserve"> (przeczytaj Hi 14; J 11,11-14).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color w:val="000000"/>
          <w:sz w:val="22"/>
          <w:szCs w:val="22"/>
        </w:rPr>
        <w:t xml:space="preserve">Choć Hiob z pewnością nie zamyślał, by jego narracja służyła jako jeden z najważniejszych tekstów biblijnych dotyczących nauki o stanie człowieka po śmierci, to jednak pewne stwierdzenia zawarte w jego wypowiedziach wyraźnie wskazują, że rozumiał śmierć jako stan nieświadomości (podobny do nieświadomego snu), co potwierdza cała </w:t>
      </w:r>
      <w:r w:rsidRPr="00AB41A5">
        <w:rPr>
          <w:rFonts w:ascii="Times New Roman" w:hAnsi="Times New Roman"/>
          <w:i/>
          <w:iCs/>
          <w:color w:val="000000"/>
          <w:sz w:val="22"/>
          <w:szCs w:val="22"/>
        </w:rPr>
        <w:t>Biblia</w:t>
      </w:r>
      <w:r w:rsidRPr="00AB41A5">
        <w:rPr>
          <w:rFonts w:ascii="Times New Roman" w:hAnsi="Times New Roman"/>
          <w:color w:val="000000"/>
          <w:sz w:val="22"/>
          <w:szCs w:val="22"/>
        </w:rPr>
        <w:t>. Warto zauważyć, że z dwóch ksiąg biblijnych napisanych jako pierwsze (</w:t>
      </w:r>
      <w:r w:rsidRPr="00AB41A5">
        <w:rPr>
          <w:rFonts w:ascii="Times New Roman" w:hAnsi="Times New Roman"/>
          <w:i/>
          <w:iCs/>
          <w:color w:val="000000"/>
          <w:sz w:val="22"/>
          <w:szCs w:val="22"/>
        </w:rPr>
        <w:t>Księga Hioba</w:t>
      </w:r>
      <w:r w:rsidRPr="00AB41A5">
        <w:rPr>
          <w:rFonts w:ascii="Times New Roman" w:hAnsi="Times New Roman"/>
          <w:color w:val="000000"/>
          <w:sz w:val="22"/>
          <w:szCs w:val="22"/>
        </w:rPr>
        <w:t xml:space="preserve"> i </w:t>
      </w:r>
      <w:r w:rsidRPr="00AB41A5">
        <w:rPr>
          <w:rFonts w:ascii="Times New Roman" w:hAnsi="Times New Roman"/>
          <w:i/>
          <w:iCs/>
          <w:color w:val="000000"/>
          <w:sz w:val="22"/>
          <w:szCs w:val="22"/>
        </w:rPr>
        <w:t>Księga Rodzaju</w:t>
      </w:r>
      <w:r w:rsidRPr="00AB41A5">
        <w:rPr>
          <w:rFonts w:ascii="Times New Roman" w:hAnsi="Times New Roman"/>
          <w:color w:val="000000"/>
          <w:sz w:val="22"/>
          <w:szCs w:val="22"/>
        </w:rPr>
        <w:t xml:space="preserve">), </w:t>
      </w:r>
      <w:r w:rsidRPr="00AB41A5">
        <w:rPr>
          <w:rFonts w:ascii="Times New Roman" w:hAnsi="Times New Roman"/>
          <w:i/>
          <w:iCs/>
          <w:color w:val="000000"/>
          <w:sz w:val="22"/>
          <w:szCs w:val="22"/>
        </w:rPr>
        <w:t>Księga Hioba</w:t>
      </w:r>
      <w:r w:rsidRPr="00AB41A5">
        <w:rPr>
          <w:rFonts w:ascii="Times New Roman" w:hAnsi="Times New Roman"/>
          <w:color w:val="000000"/>
          <w:sz w:val="22"/>
          <w:szCs w:val="22"/>
        </w:rPr>
        <w:t xml:space="preserve"> dotyczy kwestii cierpienia i śmierci, która na przestrzeni wieków wypaczała zrozumienie i powodowała błędną interpretację charakteru Boga oraz prowadziła do wierzenia w nieśmiertelność duszy. Kwestia ta wskazuje na szatańskie kłamstwo w Edenie (zob. Rdz 3,1-5). Hiob mówi o ulotności ludzkiego życia (Hi 14,2), porównując ludzką śmiertelność z wyłączną nieśmiertelnością Boga (1 Tm 6,16). Następnie porównuje ludzką śmierć do snu (Hi 14,10-12; zob. </w:t>
      </w:r>
      <w:proofErr w:type="spellStart"/>
      <w:r w:rsidRPr="00AB41A5">
        <w:rPr>
          <w:rFonts w:ascii="Times New Roman" w:hAnsi="Times New Roman"/>
          <w:color w:val="000000"/>
          <w:sz w:val="22"/>
          <w:szCs w:val="22"/>
        </w:rPr>
        <w:t>Ps</w:t>
      </w:r>
      <w:proofErr w:type="spellEnd"/>
      <w:r w:rsidRPr="00AB41A5">
        <w:rPr>
          <w:rFonts w:ascii="Times New Roman" w:hAnsi="Times New Roman"/>
          <w:color w:val="000000"/>
          <w:sz w:val="22"/>
          <w:szCs w:val="22"/>
        </w:rPr>
        <w:t xml:space="preserve"> 13,4; Jr 51,39.57; </w:t>
      </w:r>
      <w:proofErr w:type="spellStart"/>
      <w:r w:rsidRPr="00AB41A5">
        <w:rPr>
          <w:rFonts w:ascii="Times New Roman" w:hAnsi="Times New Roman"/>
          <w:color w:val="000000"/>
          <w:sz w:val="22"/>
          <w:szCs w:val="22"/>
        </w:rPr>
        <w:t>Dn</w:t>
      </w:r>
      <w:proofErr w:type="spellEnd"/>
      <w:r w:rsidRPr="00AB41A5">
        <w:rPr>
          <w:rFonts w:ascii="Times New Roman" w:hAnsi="Times New Roman"/>
          <w:color w:val="000000"/>
          <w:sz w:val="22"/>
          <w:szCs w:val="22"/>
        </w:rPr>
        <w:t xml:space="preserve"> 12,2), w którym nie ma żadnej świadomości (</w:t>
      </w:r>
      <w:proofErr w:type="spellStart"/>
      <w:r w:rsidRPr="00AB41A5">
        <w:rPr>
          <w:rFonts w:ascii="Times New Roman" w:hAnsi="Times New Roman"/>
          <w:color w:val="000000"/>
          <w:sz w:val="22"/>
          <w:szCs w:val="22"/>
        </w:rPr>
        <w:t>Koh</w:t>
      </w:r>
      <w:proofErr w:type="spellEnd"/>
      <w:r w:rsidRPr="00AB41A5">
        <w:rPr>
          <w:rFonts w:ascii="Times New Roman" w:hAnsi="Times New Roman"/>
          <w:color w:val="000000"/>
          <w:sz w:val="22"/>
          <w:szCs w:val="22"/>
        </w:rPr>
        <w:t xml:space="preserve"> 9,5-6).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color w:val="000000"/>
          <w:sz w:val="22"/>
          <w:szCs w:val="22"/>
        </w:rPr>
        <w:t xml:space="preserve">Ponieważ w </w:t>
      </w:r>
      <w:r w:rsidRPr="00AB41A5">
        <w:rPr>
          <w:rFonts w:ascii="Times New Roman" w:hAnsi="Times New Roman"/>
          <w:i/>
          <w:iCs/>
          <w:color w:val="000000"/>
          <w:sz w:val="22"/>
          <w:szCs w:val="22"/>
        </w:rPr>
        <w:t>Piśmie Świętym</w:t>
      </w:r>
      <w:r w:rsidRPr="00AB41A5">
        <w:rPr>
          <w:rFonts w:ascii="Times New Roman" w:hAnsi="Times New Roman"/>
          <w:color w:val="000000"/>
          <w:sz w:val="22"/>
          <w:szCs w:val="22"/>
        </w:rPr>
        <w:t xml:space="preserve"> występuje zgodność doktrynalna oraz kontynuacja między </w:t>
      </w:r>
      <w:r w:rsidRPr="00AB41A5">
        <w:rPr>
          <w:rFonts w:ascii="Times New Roman" w:hAnsi="Times New Roman"/>
          <w:i/>
          <w:iCs/>
          <w:color w:val="000000"/>
          <w:sz w:val="22"/>
          <w:szCs w:val="22"/>
        </w:rPr>
        <w:t>Starym Testamentem</w:t>
      </w:r>
      <w:r w:rsidRPr="00AB41A5">
        <w:rPr>
          <w:rFonts w:ascii="Times New Roman" w:hAnsi="Times New Roman"/>
          <w:color w:val="000000"/>
          <w:sz w:val="22"/>
          <w:szCs w:val="22"/>
        </w:rPr>
        <w:t xml:space="preserve"> a </w:t>
      </w:r>
      <w:r w:rsidRPr="00AB41A5">
        <w:rPr>
          <w:rFonts w:ascii="Times New Roman" w:hAnsi="Times New Roman"/>
          <w:i/>
          <w:iCs/>
          <w:color w:val="000000"/>
          <w:sz w:val="22"/>
          <w:szCs w:val="22"/>
        </w:rPr>
        <w:t>Nowym Testamentem</w:t>
      </w:r>
      <w:r w:rsidRPr="00AB41A5">
        <w:rPr>
          <w:rFonts w:ascii="Times New Roman" w:hAnsi="Times New Roman"/>
          <w:color w:val="000000"/>
          <w:sz w:val="22"/>
          <w:szCs w:val="22"/>
        </w:rPr>
        <w:t xml:space="preserve">, ten obraz śmierci jako snu jest podjęty w </w:t>
      </w:r>
      <w:r w:rsidRPr="00AB41A5">
        <w:rPr>
          <w:rFonts w:ascii="Times New Roman" w:hAnsi="Times New Roman"/>
          <w:i/>
          <w:iCs/>
          <w:color w:val="000000"/>
          <w:sz w:val="22"/>
          <w:szCs w:val="22"/>
        </w:rPr>
        <w:t>Nowym Testamencie</w:t>
      </w:r>
      <w:r w:rsidRPr="00AB41A5">
        <w:rPr>
          <w:rFonts w:ascii="Times New Roman" w:hAnsi="Times New Roman"/>
          <w:color w:val="000000"/>
          <w:sz w:val="22"/>
          <w:szCs w:val="22"/>
        </w:rPr>
        <w:t xml:space="preserve"> i zastosowany w dramatyczny sposób przez samego Jezusa do śmierci jego przyjaciela Łazarza (J 11,11-</w:t>
      </w:r>
      <w:r w:rsidRPr="00AB41A5">
        <w:rPr>
          <w:rFonts w:ascii="Times New Roman" w:hAnsi="Times New Roman"/>
          <w:color w:val="000000"/>
          <w:sz w:val="22"/>
          <w:szCs w:val="22"/>
        </w:rPr>
        <w:lastRenderedPageBreak/>
        <w:t>14). Jego uczniowie i apostołowie w swoich pismach także przedstawiali to zrozumienie śmierci jako snu (</w:t>
      </w:r>
      <w:proofErr w:type="spellStart"/>
      <w:r w:rsidRPr="00AB41A5">
        <w:rPr>
          <w:rFonts w:ascii="Times New Roman" w:hAnsi="Times New Roman"/>
          <w:color w:val="000000"/>
          <w:sz w:val="22"/>
          <w:szCs w:val="22"/>
        </w:rPr>
        <w:t>Dz</w:t>
      </w:r>
      <w:proofErr w:type="spellEnd"/>
      <w:r w:rsidRPr="00AB41A5">
        <w:rPr>
          <w:rFonts w:ascii="Times New Roman" w:hAnsi="Times New Roman"/>
          <w:color w:val="000000"/>
          <w:sz w:val="22"/>
          <w:szCs w:val="22"/>
        </w:rPr>
        <w:t xml:space="preserve"> 7,60; 1 Kor 15,51-52; 1 </w:t>
      </w:r>
      <w:proofErr w:type="spellStart"/>
      <w:r w:rsidRPr="00AB41A5">
        <w:rPr>
          <w:rFonts w:ascii="Times New Roman" w:hAnsi="Times New Roman"/>
          <w:color w:val="000000"/>
          <w:sz w:val="22"/>
          <w:szCs w:val="22"/>
        </w:rPr>
        <w:t>Tes</w:t>
      </w:r>
      <w:proofErr w:type="spellEnd"/>
      <w:r w:rsidRPr="00AB41A5">
        <w:rPr>
          <w:rFonts w:ascii="Times New Roman" w:hAnsi="Times New Roman"/>
          <w:color w:val="000000"/>
          <w:sz w:val="22"/>
          <w:szCs w:val="22"/>
        </w:rPr>
        <w:t xml:space="preserve"> 4,13-17; 2 P 3,4). Wreszcie ostatnie sceny </w:t>
      </w:r>
      <w:r w:rsidRPr="00AB41A5">
        <w:rPr>
          <w:rFonts w:ascii="Times New Roman" w:hAnsi="Times New Roman"/>
          <w:i/>
          <w:iCs/>
          <w:color w:val="000000"/>
          <w:sz w:val="22"/>
          <w:szCs w:val="22"/>
        </w:rPr>
        <w:t>Apokalipsy Jana</w:t>
      </w:r>
      <w:r w:rsidRPr="00AB41A5">
        <w:rPr>
          <w:rFonts w:ascii="Times New Roman" w:hAnsi="Times New Roman"/>
          <w:color w:val="000000"/>
          <w:sz w:val="22"/>
          <w:szCs w:val="22"/>
        </w:rPr>
        <w:t xml:space="preserve"> odnoszą się do czasu, gdy nie będzie więcej cierpienia ani śmierci (</w:t>
      </w:r>
      <w:proofErr w:type="spellStart"/>
      <w:r w:rsidRPr="00AB41A5">
        <w:rPr>
          <w:rFonts w:ascii="Times New Roman" w:hAnsi="Times New Roman"/>
          <w:color w:val="000000"/>
          <w:sz w:val="22"/>
          <w:szCs w:val="22"/>
        </w:rPr>
        <w:t>Ap</w:t>
      </w:r>
      <w:proofErr w:type="spellEnd"/>
      <w:r w:rsidRPr="00AB41A5">
        <w:rPr>
          <w:rFonts w:ascii="Times New Roman" w:hAnsi="Times New Roman"/>
          <w:color w:val="000000"/>
          <w:sz w:val="22"/>
          <w:szCs w:val="22"/>
        </w:rPr>
        <w:t xml:space="preserve"> 21,4), a nastąpi to po zmartwychwstaniu - albo do życia wiecznego, albo na wieczne unicestwienie (1 Kor 15,26; </w:t>
      </w:r>
      <w:proofErr w:type="spellStart"/>
      <w:r w:rsidRPr="00AB41A5">
        <w:rPr>
          <w:rFonts w:ascii="Times New Roman" w:hAnsi="Times New Roman"/>
          <w:color w:val="000000"/>
          <w:sz w:val="22"/>
          <w:szCs w:val="22"/>
        </w:rPr>
        <w:t>Ap</w:t>
      </w:r>
      <w:proofErr w:type="spellEnd"/>
      <w:r w:rsidRPr="00AB41A5">
        <w:rPr>
          <w:rFonts w:ascii="Times New Roman" w:hAnsi="Times New Roman"/>
          <w:color w:val="000000"/>
          <w:sz w:val="22"/>
          <w:szCs w:val="22"/>
        </w:rPr>
        <w:t xml:space="preserve"> 2,11; 20,14; 21,8).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b/>
          <w:bCs/>
          <w:color w:val="000000"/>
          <w:sz w:val="22"/>
          <w:szCs w:val="22"/>
        </w:rPr>
        <w:t xml:space="preserve">Do rozważenia: </w:t>
      </w:r>
      <w:r w:rsidRPr="00AB41A5">
        <w:rPr>
          <w:rFonts w:ascii="Times New Roman" w:hAnsi="Times New Roman"/>
          <w:color w:val="000000"/>
          <w:sz w:val="22"/>
          <w:szCs w:val="22"/>
        </w:rPr>
        <w:t>Dlaczego wiara w nieśmiertelność duszy dominuje w chrześcijaństwie? Jak wpływa ona na nasze zrozumienie Boga?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b/>
          <w:bCs/>
          <w:color w:val="000000"/>
          <w:sz w:val="22"/>
          <w:szCs w:val="22"/>
        </w:rPr>
        <w:t>III. Stan żyjących</w:t>
      </w:r>
      <w:r w:rsidRPr="00AB41A5">
        <w:rPr>
          <w:rFonts w:ascii="Times New Roman" w:hAnsi="Times New Roman"/>
          <w:color w:val="000000"/>
          <w:sz w:val="22"/>
          <w:szCs w:val="22"/>
        </w:rPr>
        <w:t xml:space="preserve"> (przeczytaj Hi 7,17-21; 14,13-15; 19,25-26; J 3,16).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color w:val="000000"/>
          <w:sz w:val="22"/>
          <w:szCs w:val="22"/>
        </w:rPr>
        <w:t>Biblijna antropologia byłaby niepełna, gdyby mówiła tylko o stanie człowieka po śmierci. Już sama biblijna metafora śmierci jako snu wskazuje na przebudzenie, a to prowadzi do nauki o zmartwychwstaniu i siłą rzeczy do Jezusa Chrystusa. Wielkie pytanie z Hi 7,17: „Czymże jest człowiek?”, może znaleźć odpowiedź jedynie gdy przyjrzymy się życiu, śmierci i zmartwychwstaniu Syna Bożego, którego powrót do życia stanowi gwarancję naszego zwycięstwa nad śmiercią (J 5,28-29). Hiob miał pojęcie o zmartwychwstaniu (Hi 19,25-26). Ojciec, który posłał swego Syna, by umarł za nasze grzechy, odpowiada raz na zawsze na wszystkie pytania dotyczące życia i śmierci (J 3,16).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b/>
          <w:bCs/>
          <w:color w:val="000000"/>
          <w:sz w:val="22"/>
          <w:szCs w:val="22"/>
        </w:rPr>
        <w:t xml:space="preserve">Do rozważenia: </w:t>
      </w:r>
      <w:r w:rsidRPr="00AB41A5">
        <w:rPr>
          <w:rFonts w:ascii="Times New Roman" w:hAnsi="Times New Roman"/>
          <w:color w:val="000000"/>
          <w:sz w:val="22"/>
          <w:szCs w:val="22"/>
        </w:rPr>
        <w:t>Jak zmagałeś się z pojęciem teodycei? Jakie odpowiedzi znalazłeś w tej kwestii?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2"/>
        </w:rPr>
      </w:pPr>
      <w:r w:rsidRPr="00AB41A5">
        <w:rPr>
          <w:rFonts w:ascii="Times New Roman" w:hAnsi="Times New Roman"/>
          <w:b/>
          <w:bCs/>
          <w:color w:val="000000"/>
          <w:sz w:val="24"/>
          <w:szCs w:val="22"/>
        </w:rPr>
        <w:t>Etap 3 - Zastosowanie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color w:val="000000"/>
          <w:sz w:val="22"/>
          <w:szCs w:val="22"/>
        </w:rPr>
      </w:pPr>
      <w:r w:rsidRPr="00AB41A5">
        <w:rPr>
          <w:rFonts w:ascii="Times New Roman" w:hAnsi="Times New Roman"/>
          <w:b/>
          <w:bCs/>
          <w:color w:val="000000"/>
          <w:sz w:val="22"/>
          <w:szCs w:val="22"/>
        </w:rPr>
        <w:t xml:space="preserve">Tylko dla nauczyciela: </w:t>
      </w:r>
      <w:r w:rsidRPr="00AB41A5">
        <w:rPr>
          <w:rFonts w:ascii="Times New Roman" w:hAnsi="Times New Roman"/>
          <w:bCs/>
          <w:color w:val="000000"/>
          <w:sz w:val="22"/>
          <w:szCs w:val="22"/>
        </w:rPr>
        <w:t>Każdy z nas ma chwile, gdy depresja nas dopada, a cierpienie staje się nieznośne. Narzekania Hioba mogą nam pomóc skierować nasze smutki pod właściwy adres.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color w:val="000000"/>
          <w:sz w:val="22"/>
          <w:szCs w:val="22"/>
        </w:rPr>
      </w:pP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AB41A5">
        <w:rPr>
          <w:rFonts w:ascii="Times New Roman" w:hAnsi="Times New Roman"/>
          <w:b/>
          <w:bCs/>
          <w:color w:val="000000"/>
          <w:sz w:val="22"/>
          <w:szCs w:val="22"/>
        </w:rPr>
        <w:t>Pytania do przemyślenia i zastosowania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color w:val="000000"/>
          <w:sz w:val="22"/>
          <w:szCs w:val="22"/>
        </w:rPr>
        <w:t>1. Niektórzy chrześcijanie czują się winni, gdy ogarnia ich przygnębienie. Dlaczego tak jest?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color w:val="000000"/>
          <w:sz w:val="22"/>
          <w:szCs w:val="22"/>
        </w:rPr>
        <w:t>2. Jak radzisz sobie z rzeczywistością negatywnych myśli i przygnębienia?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2"/>
        </w:rPr>
      </w:pPr>
      <w:r w:rsidRPr="00AB41A5">
        <w:rPr>
          <w:rFonts w:ascii="Times New Roman" w:hAnsi="Times New Roman"/>
          <w:b/>
          <w:bCs/>
          <w:color w:val="000000"/>
          <w:sz w:val="24"/>
          <w:szCs w:val="22"/>
        </w:rPr>
        <w:t>Etap 4 - Tworzenie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b/>
          <w:bCs/>
          <w:color w:val="000000"/>
          <w:sz w:val="22"/>
          <w:szCs w:val="22"/>
        </w:rPr>
        <w:t xml:space="preserve">Tylko dla nauczyciela: </w:t>
      </w:r>
      <w:r w:rsidRPr="00AB41A5">
        <w:rPr>
          <w:rFonts w:ascii="Times New Roman" w:hAnsi="Times New Roman"/>
          <w:color w:val="000000"/>
          <w:sz w:val="22"/>
          <w:szCs w:val="22"/>
        </w:rPr>
        <w:t>Depresja jest bardzo realnym zjawiskiem tak poza Kościołem jak i w Kościele. Ważne, by podchodzić do tego problemu z chrześcijańskiego punktu widzenia.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AB41A5">
        <w:rPr>
          <w:rFonts w:ascii="Times New Roman" w:hAnsi="Times New Roman"/>
          <w:b/>
          <w:bCs/>
          <w:color w:val="000000"/>
          <w:sz w:val="22"/>
          <w:szCs w:val="22"/>
        </w:rPr>
        <w:t>Zajęcia w klasie i indywidualne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color w:val="000000"/>
          <w:sz w:val="22"/>
          <w:szCs w:val="22"/>
        </w:rPr>
        <w:t>1. Zaproś mówcę - np. pastora lub psychologa z twojego zboru - by przedstawił kwestie depresji uczestnikom lekcji. Byłoby dobrze uwzględnić w prezentacji praktyczne sposoby radzenia sobie z depresją.</w:t>
      </w:r>
    </w:p>
    <w:p w:rsidR="00AB41A5" w:rsidRPr="00AB41A5" w:rsidRDefault="00AB41A5" w:rsidP="00AB4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  <w:r w:rsidRPr="00AB41A5">
        <w:rPr>
          <w:rFonts w:ascii="Times New Roman" w:hAnsi="Times New Roman"/>
          <w:color w:val="000000"/>
          <w:sz w:val="22"/>
          <w:szCs w:val="22"/>
        </w:rPr>
        <w:t>2. Zwróć się do kogoś, kto przechodzi depresję, i podziel się z tą osobą swoim zrozumieniem tej kwestii. Nie zapomnij pomodlić się z tą osobą.</w:t>
      </w:r>
    </w:p>
    <w:p w:rsidR="00AB41A5" w:rsidRDefault="00AB41A5">
      <w:pPr>
        <w:rPr>
          <w:rFonts w:ascii="Times New Roman" w:hAnsi="Times New Roman"/>
          <w:sz w:val="22"/>
          <w:szCs w:val="22"/>
        </w:rPr>
      </w:pPr>
    </w:p>
    <w:p w:rsidR="00AB41A5" w:rsidRPr="00AB41A5" w:rsidRDefault="00AB41A5" w:rsidP="00AB41A5">
      <w:pPr>
        <w:rPr>
          <w:rFonts w:ascii="Times New Roman" w:hAnsi="Times New Roman"/>
          <w:sz w:val="22"/>
          <w:szCs w:val="22"/>
        </w:rPr>
      </w:pPr>
    </w:p>
    <w:p w:rsidR="00AB41A5" w:rsidRPr="00AB41A5" w:rsidRDefault="00AB41A5" w:rsidP="00AB41A5">
      <w:pPr>
        <w:rPr>
          <w:rFonts w:ascii="Times New Roman" w:hAnsi="Times New Roman"/>
          <w:sz w:val="22"/>
          <w:szCs w:val="22"/>
        </w:rPr>
      </w:pPr>
    </w:p>
    <w:p w:rsidR="00AB41A5" w:rsidRPr="00AB41A5" w:rsidRDefault="00AB41A5" w:rsidP="00AB41A5">
      <w:pPr>
        <w:rPr>
          <w:rFonts w:ascii="Times New Roman" w:hAnsi="Times New Roman"/>
          <w:sz w:val="22"/>
          <w:szCs w:val="22"/>
        </w:rPr>
      </w:pPr>
    </w:p>
    <w:p w:rsidR="00AB41A5" w:rsidRPr="00AB41A5" w:rsidRDefault="00AB41A5" w:rsidP="00AB41A5">
      <w:pPr>
        <w:rPr>
          <w:rFonts w:ascii="Times New Roman" w:hAnsi="Times New Roman"/>
          <w:sz w:val="22"/>
          <w:szCs w:val="22"/>
        </w:rPr>
      </w:pPr>
    </w:p>
    <w:p w:rsidR="00AB41A5" w:rsidRPr="00AB41A5" w:rsidRDefault="00AB41A5" w:rsidP="00AB41A5">
      <w:pPr>
        <w:rPr>
          <w:rFonts w:ascii="Times New Roman" w:hAnsi="Times New Roman"/>
          <w:sz w:val="22"/>
          <w:szCs w:val="22"/>
        </w:rPr>
      </w:pPr>
    </w:p>
    <w:p w:rsidR="00AB41A5" w:rsidRPr="00AB41A5" w:rsidRDefault="00AB41A5" w:rsidP="00AB41A5">
      <w:pPr>
        <w:rPr>
          <w:rFonts w:ascii="Times New Roman" w:hAnsi="Times New Roman"/>
          <w:sz w:val="22"/>
          <w:szCs w:val="22"/>
        </w:rPr>
      </w:pPr>
    </w:p>
    <w:p w:rsidR="00AB41A5" w:rsidRPr="00AB41A5" w:rsidRDefault="00AB41A5" w:rsidP="00AB41A5">
      <w:pPr>
        <w:rPr>
          <w:rFonts w:ascii="Times New Roman" w:hAnsi="Times New Roman"/>
          <w:sz w:val="22"/>
          <w:szCs w:val="22"/>
        </w:rPr>
      </w:pPr>
    </w:p>
    <w:p w:rsidR="00AB41A5" w:rsidRDefault="00AB41A5" w:rsidP="00AB41A5">
      <w:pPr>
        <w:rPr>
          <w:rFonts w:ascii="Times New Roman" w:hAnsi="Times New Roman"/>
          <w:sz w:val="22"/>
          <w:szCs w:val="22"/>
        </w:rPr>
      </w:pPr>
    </w:p>
    <w:p w:rsidR="00E0532B" w:rsidRPr="00AB41A5" w:rsidRDefault="00AB41A5" w:rsidP="00AB41A5">
      <w:pPr>
        <w:tabs>
          <w:tab w:val="left" w:pos="7788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sectPr w:rsidR="00E0532B" w:rsidRPr="00AB41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17A" w:rsidRDefault="00A8317A" w:rsidP="00AB41A5">
      <w:r>
        <w:separator/>
      </w:r>
    </w:p>
  </w:endnote>
  <w:endnote w:type="continuationSeparator" w:id="0">
    <w:p w:rsidR="00A8317A" w:rsidRDefault="00A8317A" w:rsidP="00AB4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50E" w:rsidRDefault="0008750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8048214"/>
      <w:docPartObj>
        <w:docPartGallery w:val="Page Numbers (Bottom of Page)"/>
        <w:docPartUnique/>
      </w:docPartObj>
    </w:sdtPr>
    <w:sdtEndPr/>
    <w:sdtContent>
      <w:p w:rsidR="00AB41A5" w:rsidRDefault="00AB41A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0E">
          <w:rPr>
            <w:noProof/>
          </w:rPr>
          <w:t>1</w:t>
        </w:r>
        <w:r>
          <w:fldChar w:fldCharType="end"/>
        </w:r>
      </w:p>
    </w:sdtContent>
  </w:sdt>
  <w:p w:rsidR="00AB41A5" w:rsidRDefault="00AB41A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50E" w:rsidRDefault="0008750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17A" w:rsidRDefault="00A8317A" w:rsidP="00AB41A5">
      <w:r>
        <w:separator/>
      </w:r>
    </w:p>
  </w:footnote>
  <w:footnote w:type="continuationSeparator" w:id="0">
    <w:p w:rsidR="00A8317A" w:rsidRDefault="00A8317A" w:rsidP="00AB41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50E" w:rsidRDefault="0008750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1A5" w:rsidRDefault="00AB41A5" w:rsidP="00AB41A5">
    <w:pPr>
      <w:pStyle w:val="Nagwek"/>
      <w:rPr>
        <w:rFonts w:ascii="Times New Roman" w:hAnsi="Times New Roman"/>
        <w:sz w:val="20"/>
      </w:rPr>
    </w:pPr>
    <w:r w:rsidRPr="00DF79C1">
      <w:rPr>
        <w:rFonts w:ascii="Times New Roman" w:hAnsi="Times New Roman"/>
        <w:sz w:val="20"/>
      </w:rPr>
      <w:t xml:space="preserve">Lekcje </w:t>
    </w:r>
    <w:r>
      <w:rPr>
        <w:rFonts w:ascii="Times New Roman" w:hAnsi="Times New Roman"/>
        <w:sz w:val="20"/>
      </w:rPr>
      <w:t xml:space="preserve">biblijne 5/2016, Przewodnik dla nauczycieli, </w:t>
    </w:r>
  </w:p>
  <w:p w:rsidR="00AB41A5" w:rsidRPr="00DF79C1" w:rsidRDefault="00AB41A5" w:rsidP="00AB41A5">
    <w:pPr>
      <w:pStyle w:val="Nagwek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C. Goldstein, </w:t>
    </w:r>
    <w:r w:rsidRPr="00DF79C1">
      <w:rPr>
        <w:rFonts w:ascii="Times New Roman" w:hAnsi="Times New Roman"/>
        <w:sz w:val="20"/>
      </w:rPr>
      <w:t>Księga Hioba</w:t>
    </w:r>
    <w:r>
      <w:rPr>
        <w:rFonts w:ascii="Times New Roman" w:hAnsi="Times New Roman"/>
        <w:sz w:val="20"/>
      </w:rPr>
      <w:t xml:space="preserve">, lekcja 5 „Przeklinam dzień” </w:t>
    </w:r>
  </w:p>
  <w:p w:rsidR="00AB41A5" w:rsidRDefault="00AB41A5">
    <w:pPr>
      <w:pStyle w:val="Nagwek"/>
    </w:pPr>
  </w:p>
  <w:p w:rsidR="0008750E" w:rsidRDefault="0008750E">
    <w:pPr>
      <w:pStyle w:val="Nagwek"/>
    </w:pPr>
  </w:p>
  <w:p w:rsidR="0008750E" w:rsidRDefault="0008750E">
    <w:pPr>
      <w:pStyle w:val="Nagwek"/>
    </w:pPr>
    <w:bookmarkStart w:id="0" w:name="_GoBack"/>
    <w:bookmarkEnd w:id="0"/>
  </w:p>
  <w:p w:rsidR="00AB41A5" w:rsidRDefault="00AB41A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50E" w:rsidRDefault="0008750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2D3"/>
    <w:rsid w:val="000702D3"/>
    <w:rsid w:val="0008750E"/>
    <w:rsid w:val="003F5F60"/>
    <w:rsid w:val="00442AAF"/>
    <w:rsid w:val="00460860"/>
    <w:rsid w:val="00A8317A"/>
    <w:rsid w:val="00AB41A5"/>
    <w:rsid w:val="00B20599"/>
    <w:rsid w:val="00E0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56B23-311F-4B6C-919A-8305B93F4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41A5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41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41A5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41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41A5"/>
    <w:rPr>
      <w:rFonts w:ascii="Tahoma" w:eastAsia="Times New Roman" w:hAnsi="Tahoma" w:cs="Times New Roman"/>
      <w:sz w:val="3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2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1478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Krok</dc:creator>
  <cp:keywords/>
  <dc:description/>
  <cp:lastModifiedBy>Remigiusz Krok</cp:lastModifiedBy>
  <cp:revision>5</cp:revision>
  <cp:lastPrinted>2016-09-21T16:15:00Z</cp:lastPrinted>
  <dcterms:created xsi:type="dcterms:W3CDTF">2016-09-21T16:04:00Z</dcterms:created>
  <dcterms:modified xsi:type="dcterms:W3CDTF">2016-09-21T17:16:00Z</dcterms:modified>
</cp:coreProperties>
</file>